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89" w:rsidRDefault="00617189" w:rsidP="00E1284D">
      <w:pPr>
        <w:spacing w:line="240" w:lineRule="auto"/>
        <w:jc w:val="right"/>
        <w:rPr>
          <w:rFonts w:ascii="Minion Pro" w:hAnsi="Minion Pro" w:cs="Minion Pro"/>
        </w:rPr>
      </w:pPr>
    </w:p>
    <w:p w:rsidR="00617189" w:rsidRDefault="00617189" w:rsidP="00E1284D">
      <w:pPr>
        <w:spacing w:line="240" w:lineRule="auto"/>
        <w:jc w:val="right"/>
        <w:rPr>
          <w:rFonts w:ascii="Minion Pro" w:hAnsi="Minion Pro" w:cs="Minion Pro"/>
        </w:rPr>
      </w:pPr>
    </w:p>
    <w:p w:rsidR="009622A7" w:rsidRDefault="009622A7" w:rsidP="009622A7">
      <w:pPr>
        <w:tabs>
          <w:tab w:val="left" w:pos="866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SOLICITUD DE COTIZACIÓN</w:t>
      </w:r>
    </w:p>
    <w:p w:rsidR="009622A7" w:rsidRDefault="009622A7" w:rsidP="009622A7">
      <w:pPr>
        <w:tabs>
          <w:tab w:val="left" w:pos="866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PFI-COMPARACIÓN DE PRECIOS</w:t>
      </w:r>
      <w:r w:rsidRPr="0085124F">
        <w:rPr>
          <w:b/>
          <w:bCs/>
        </w:rPr>
        <w:t xml:space="preserve"> N°</w:t>
      </w:r>
      <w:r w:rsidR="00003A32">
        <w:rPr>
          <w:b/>
          <w:bCs/>
        </w:rPr>
        <w:t xml:space="preserve"> 12</w:t>
      </w:r>
      <w:r w:rsidRPr="0085124F">
        <w:rPr>
          <w:b/>
          <w:bCs/>
        </w:rPr>
        <w:t>/2019</w:t>
      </w:r>
    </w:p>
    <w:p w:rsidR="009622A7" w:rsidRDefault="009622A7" w:rsidP="009622A7">
      <w:pPr>
        <w:tabs>
          <w:tab w:val="left" w:pos="8662"/>
        </w:tabs>
        <w:spacing w:line="360" w:lineRule="auto"/>
        <w:ind w:left="0"/>
        <w:jc w:val="center"/>
      </w:pPr>
      <w:r>
        <w:rPr>
          <w:b/>
          <w:bCs/>
        </w:rPr>
        <w:t>LLAMADO PARA LA CONTRATACION DE SERVICIO DE ESPACIO DE CUIDADO EN EVENTOS PÚBLICOS</w:t>
      </w:r>
    </w:p>
    <w:p w:rsidR="009622A7" w:rsidRDefault="009622A7" w:rsidP="009622A7">
      <w:pPr>
        <w:spacing w:before="113" w:after="113" w:line="200" w:lineRule="atLeast"/>
        <w:ind w:left="0"/>
        <w:jc w:val="right"/>
      </w:pPr>
    </w:p>
    <w:p w:rsidR="009622A7" w:rsidRDefault="009622A7" w:rsidP="009622A7">
      <w:pPr>
        <w:spacing w:before="113" w:after="113" w:line="200" w:lineRule="atLeast"/>
        <w:ind w:left="0"/>
        <w:jc w:val="right"/>
      </w:pPr>
    </w:p>
    <w:p w:rsidR="009622A7" w:rsidRPr="00E011E7" w:rsidRDefault="009622A7" w:rsidP="009622A7">
      <w:pPr>
        <w:spacing w:before="120" w:after="120" w:line="240" w:lineRule="auto"/>
        <w:ind w:left="0"/>
        <w:rPr>
          <w:rFonts w:asciiTheme="minorHAnsi" w:eastAsia="Times New Roman" w:hAnsiTheme="minorHAnsi" w:cs="Arial"/>
        </w:rPr>
      </w:pPr>
      <w:r w:rsidRPr="00E011E7">
        <w:rPr>
          <w:rFonts w:asciiTheme="minorHAnsi" w:eastAsia="Times New Roman" w:hAnsiTheme="minorHAnsi" w:cs="Arial"/>
        </w:rPr>
        <w:t xml:space="preserve">Por la presente, y en el marco del Programa de Apoyo al Sistema Nacional Integrado de Cuidados Préstamo BID 3706 OC-UR, solicito a usted realizar la siguiente cotización: </w:t>
      </w:r>
    </w:p>
    <w:p w:rsidR="009622A7" w:rsidRDefault="009622A7" w:rsidP="009622A7">
      <w:pPr>
        <w:spacing w:before="113" w:after="113" w:line="200" w:lineRule="atLeast"/>
        <w:ind w:left="0"/>
        <w:rPr>
          <w:b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9364"/>
      </w:tblGrid>
      <w:tr w:rsidR="009622A7" w:rsidTr="004073C8">
        <w:trPr>
          <w:trHeight w:val="2235"/>
        </w:trPr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2A7" w:rsidRDefault="009622A7" w:rsidP="004073C8">
            <w:pPr>
              <w:tabs>
                <w:tab w:val="center" w:pos="4252"/>
                <w:tab w:val="right" w:pos="8504"/>
              </w:tabs>
              <w:spacing w:before="120" w:after="120" w:line="240" w:lineRule="auto"/>
              <w:ind w:left="0"/>
              <w:rPr>
                <w:kern w:val="1"/>
              </w:rPr>
            </w:pPr>
            <w:r>
              <w:rPr>
                <w:b/>
              </w:rPr>
              <w:t>Contratación de un servicio de espacio lúdico de cuidados en eventos públicos</w:t>
            </w:r>
            <w:r>
              <w:rPr>
                <w:b/>
                <w:bCs/>
                <w:color w:val="000000"/>
                <w:kern w:val="1"/>
              </w:rPr>
              <w:t>:</w:t>
            </w:r>
          </w:p>
          <w:p w:rsidR="009622A7" w:rsidRDefault="009622A7" w:rsidP="004073C8">
            <w:pPr>
              <w:spacing w:before="120" w:after="120" w:line="240" w:lineRule="auto"/>
              <w:ind w:left="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</w:t>
            </w:r>
            <w:r w:rsidRPr="005F2FD9">
              <w:rPr>
                <w:rFonts w:asciiTheme="minorHAnsi" w:eastAsia="Times New Roman" w:hAnsiTheme="minorHAnsi" w:cs="Arial"/>
              </w:rPr>
              <w:t xml:space="preserve">esarrollar acciones </w:t>
            </w:r>
            <w:r>
              <w:rPr>
                <w:rFonts w:asciiTheme="minorHAnsi" w:eastAsia="Times New Roman" w:hAnsiTheme="minorHAnsi" w:cs="Arial"/>
              </w:rPr>
              <w:t xml:space="preserve">lúdico – recreativas, de </w:t>
            </w:r>
            <w:r w:rsidRPr="00E011E7">
              <w:rPr>
                <w:rFonts w:asciiTheme="minorHAnsi" w:eastAsia="Times New Roman" w:hAnsiTheme="minorHAnsi" w:cs="Arial"/>
              </w:rPr>
              <w:t>aproximadamente 5 horas de duración, para grupos de hasta 30 niños y niñas de 3 a 12 años durante los siguientes eventos públicos puntuales</w:t>
            </w:r>
            <w:r>
              <w:rPr>
                <w:rFonts w:asciiTheme="minorHAnsi" w:eastAsia="Times New Roman" w:hAnsiTheme="minorHAnsi" w:cs="Arial"/>
              </w:rPr>
              <w:t xml:space="preserve"> (tentativos):</w:t>
            </w:r>
          </w:p>
          <w:tbl>
            <w:tblPr>
              <w:tblStyle w:val="Tablaconcuadrcula"/>
              <w:tblW w:w="0" w:type="auto"/>
              <w:jc w:val="center"/>
              <w:tblLayout w:type="fixed"/>
              <w:tblLook w:val="04A0"/>
            </w:tblPr>
            <w:tblGrid>
              <w:gridCol w:w="3557"/>
              <w:gridCol w:w="2286"/>
              <w:gridCol w:w="3260"/>
            </w:tblGrid>
            <w:tr w:rsidR="009622A7" w:rsidRPr="00982A86" w:rsidTr="004073C8">
              <w:trPr>
                <w:jc w:val="center"/>
              </w:trPr>
              <w:tc>
                <w:tcPr>
                  <w:tcW w:w="3557" w:type="dxa"/>
                </w:tcPr>
                <w:p w:rsidR="009622A7" w:rsidRPr="00982A86" w:rsidRDefault="009622A7" w:rsidP="004073C8">
                  <w:pPr>
                    <w:spacing w:before="60" w:after="60" w:line="240" w:lineRule="auto"/>
                    <w:ind w:left="0"/>
                    <w:jc w:val="center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982A86">
                    <w:rPr>
                      <w:rFonts w:asciiTheme="minorHAnsi" w:eastAsia="Times New Roman" w:hAnsiTheme="minorHAnsi" w:cs="Arial"/>
                      <w:b/>
                    </w:rPr>
                    <w:t>Fecha</w:t>
                  </w:r>
                </w:p>
              </w:tc>
              <w:tc>
                <w:tcPr>
                  <w:tcW w:w="2286" w:type="dxa"/>
                </w:tcPr>
                <w:p w:rsidR="009622A7" w:rsidRPr="00982A86" w:rsidRDefault="009622A7" w:rsidP="004073C8">
                  <w:pPr>
                    <w:spacing w:before="60" w:after="60" w:line="240" w:lineRule="auto"/>
                    <w:ind w:left="0"/>
                    <w:jc w:val="center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982A86">
                    <w:rPr>
                      <w:rFonts w:asciiTheme="minorHAnsi" w:eastAsia="Times New Roman" w:hAnsiTheme="minorHAnsi" w:cs="Arial"/>
                      <w:b/>
                    </w:rPr>
                    <w:t>Actividad</w:t>
                  </w:r>
                </w:p>
              </w:tc>
              <w:tc>
                <w:tcPr>
                  <w:tcW w:w="3260" w:type="dxa"/>
                </w:tcPr>
                <w:p w:rsidR="009622A7" w:rsidRPr="00982A86" w:rsidRDefault="009622A7" w:rsidP="004073C8">
                  <w:pPr>
                    <w:spacing w:before="60" w:after="60" w:line="240" w:lineRule="auto"/>
                    <w:ind w:left="0"/>
                    <w:jc w:val="center"/>
                    <w:rPr>
                      <w:rFonts w:asciiTheme="minorHAnsi" w:eastAsia="Times New Roman" w:hAnsiTheme="minorHAnsi" w:cs="Arial"/>
                      <w:b/>
                    </w:rPr>
                  </w:pPr>
                  <w:r w:rsidRPr="00982A86">
                    <w:rPr>
                      <w:rFonts w:asciiTheme="minorHAnsi" w:eastAsia="Times New Roman" w:hAnsiTheme="minorHAnsi" w:cs="Arial"/>
                      <w:b/>
                    </w:rPr>
                    <w:t>Lugar</w:t>
                  </w:r>
                </w:p>
              </w:tc>
            </w:tr>
            <w:tr w:rsidR="009622A7" w:rsidTr="004073C8">
              <w:trPr>
                <w:jc w:val="center"/>
              </w:trPr>
              <w:tc>
                <w:tcPr>
                  <w:tcW w:w="3557" w:type="dxa"/>
                </w:tcPr>
                <w:p w:rsidR="009622A7" w:rsidRPr="00E011E7" w:rsidRDefault="009622A7" w:rsidP="004073C8">
                  <w:pPr>
                    <w:spacing w:before="60" w:after="60" w:line="240" w:lineRule="auto"/>
                    <w:ind w:left="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Setiembre (14/09/19 – 14:00 a 18:30 hs.)</w:t>
                  </w:r>
                </w:p>
              </w:tc>
              <w:tc>
                <w:tcPr>
                  <w:tcW w:w="2286" w:type="dxa"/>
                  <w:vAlign w:val="center"/>
                </w:tcPr>
                <w:p w:rsidR="009622A7" w:rsidRPr="00E011E7" w:rsidRDefault="009622A7" w:rsidP="004073C8">
                  <w:pPr>
                    <w:spacing w:before="60" w:after="60" w:line="240" w:lineRule="auto"/>
                    <w:ind w:left="0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5k INJU</w:t>
                  </w:r>
                </w:p>
              </w:tc>
              <w:tc>
                <w:tcPr>
                  <w:tcW w:w="3260" w:type="dxa"/>
                  <w:vAlign w:val="center"/>
                </w:tcPr>
                <w:p w:rsidR="009622A7" w:rsidRPr="00E011E7" w:rsidRDefault="009622A7" w:rsidP="004073C8">
                  <w:pPr>
                    <w:spacing w:before="60" w:after="60" w:line="240" w:lineRule="auto"/>
                    <w:ind w:left="0"/>
                    <w:jc w:val="left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18 de Julio y Eduardo Acevedo</w:t>
                  </w:r>
                </w:p>
              </w:tc>
            </w:tr>
            <w:tr w:rsidR="009622A7" w:rsidTr="004073C8">
              <w:trPr>
                <w:jc w:val="center"/>
              </w:trPr>
              <w:tc>
                <w:tcPr>
                  <w:tcW w:w="3557" w:type="dxa"/>
                </w:tcPr>
                <w:p w:rsidR="009622A7" w:rsidRPr="00E011E7" w:rsidRDefault="009622A7" w:rsidP="004073C8">
                  <w:pPr>
                    <w:spacing w:before="60" w:after="60" w:line="240" w:lineRule="auto"/>
                    <w:ind w:left="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Octubre</w:t>
                  </w:r>
                </w:p>
              </w:tc>
              <w:tc>
                <w:tcPr>
                  <w:tcW w:w="2286" w:type="dxa"/>
                </w:tcPr>
                <w:p w:rsidR="009622A7" w:rsidRPr="00E011E7" w:rsidRDefault="009622A7" w:rsidP="004073C8">
                  <w:pPr>
                    <w:spacing w:before="60" w:after="60" w:line="240" w:lineRule="auto"/>
                    <w:ind w:left="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Espectáculo teatral</w:t>
                  </w:r>
                </w:p>
              </w:tc>
              <w:tc>
                <w:tcPr>
                  <w:tcW w:w="3260" w:type="dxa"/>
                </w:tcPr>
                <w:p w:rsidR="009622A7" w:rsidRPr="00E011E7" w:rsidRDefault="009622A7" w:rsidP="004073C8">
                  <w:pPr>
                    <w:spacing w:before="60" w:after="60" w:line="240" w:lineRule="auto"/>
                    <w:ind w:left="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Teatro Solís o Auditorio del </w:t>
                  </w:r>
                  <w:proofErr w:type="spellStart"/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Sodre</w:t>
                  </w:r>
                  <w:proofErr w:type="spellEnd"/>
                </w:p>
              </w:tc>
            </w:tr>
            <w:tr w:rsidR="009622A7" w:rsidTr="004073C8">
              <w:trPr>
                <w:jc w:val="center"/>
              </w:trPr>
              <w:tc>
                <w:tcPr>
                  <w:tcW w:w="3557" w:type="dxa"/>
                </w:tcPr>
                <w:p w:rsidR="009622A7" w:rsidRPr="00E011E7" w:rsidRDefault="009622A7" w:rsidP="004073C8">
                  <w:pPr>
                    <w:spacing w:before="60" w:after="60" w:line="240" w:lineRule="auto"/>
                    <w:ind w:left="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Noviembre</w:t>
                  </w:r>
                </w:p>
              </w:tc>
              <w:tc>
                <w:tcPr>
                  <w:tcW w:w="2286" w:type="dxa"/>
                </w:tcPr>
                <w:p w:rsidR="009622A7" w:rsidRPr="00E011E7" w:rsidRDefault="009622A7" w:rsidP="004073C8">
                  <w:pPr>
                    <w:spacing w:before="60" w:after="60" w:line="240" w:lineRule="auto"/>
                    <w:ind w:left="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Ingeniería </w:t>
                  </w:r>
                  <w:proofErr w:type="spellStart"/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deMuestra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9622A7" w:rsidRPr="00E011E7" w:rsidRDefault="009622A7" w:rsidP="004073C8">
                  <w:pPr>
                    <w:spacing w:before="60" w:after="60" w:line="240" w:lineRule="auto"/>
                    <w:ind w:left="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Facultad de Ingeniería - </w:t>
                  </w:r>
                  <w:proofErr w:type="spellStart"/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Udelar</w:t>
                  </w:r>
                  <w:proofErr w:type="spellEnd"/>
                </w:p>
              </w:tc>
            </w:tr>
            <w:tr w:rsidR="009622A7" w:rsidTr="004073C8">
              <w:trPr>
                <w:jc w:val="center"/>
              </w:trPr>
              <w:tc>
                <w:tcPr>
                  <w:tcW w:w="3557" w:type="dxa"/>
                </w:tcPr>
                <w:p w:rsidR="009622A7" w:rsidRPr="00E011E7" w:rsidRDefault="009622A7" w:rsidP="004073C8">
                  <w:pPr>
                    <w:spacing w:before="60" w:after="60" w:line="240" w:lineRule="auto"/>
                    <w:ind w:left="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Diciembre</w:t>
                  </w:r>
                </w:p>
              </w:tc>
              <w:tc>
                <w:tcPr>
                  <w:tcW w:w="2286" w:type="dxa"/>
                </w:tcPr>
                <w:p w:rsidR="009622A7" w:rsidRPr="00E011E7" w:rsidRDefault="009622A7" w:rsidP="004073C8">
                  <w:pPr>
                    <w:spacing w:before="60" w:after="60" w:line="240" w:lineRule="auto"/>
                    <w:ind w:left="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Museos en la noche</w:t>
                  </w:r>
                </w:p>
              </w:tc>
              <w:tc>
                <w:tcPr>
                  <w:tcW w:w="3260" w:type="dxa"/>
                </w:tcPr>
                <w:p w:rsidR="009622A7" w:rsidRPr="00E011E7" w:rsidRDefault="009622A7" w:rsidP="004073C8">
                  <w:pPr>
                    <w:spacing w:before="60" w:after="60" w:line="240" w:lineRule="auto"/>
                    <w:ind w:left="0"/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E011E7">
                    <w:rPr>
                      <w:rFonts w:asciiTheme="minorHAnsi" w:eastAsia="Times New Roman" w:hAnsiTheme="minorHAnsi" w:cs="Arial"/>
                      <w:sz w:val="20"/>
                      <w:szCs w:val="20"/>
                    </w:rPr>
                    <w:t>Museo Nacional de Artes Visuales</w:t>
                  </w:r>
                </w:p>
              </w:tc>
            </w:tr>
          </w:tbl>
          <w:p w:rsidR="009622A7" w:rsidRPr="00E011E7" w:rsidRDefault="009622A7" w:rsidP="004073C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rPr>
                <w:rFonts w:asciiTheme="minorHAnsi" w:hAnsiTheme="minorHAnsi" w:cs="Arial"/>
                <w:bCs/>
                <w:lang w:val="es-ES_tradnl"/>
              </w:rPr>
            </w:pPr>
            <w:r w:rsidRPr="00E011E7">
              <w:rPr>
                <w:rFonts w:asciiTheme="minorHAnsi" w:hAnsiTheme="minorHAnsi" w:cs="Arial"/>
                <w:b/>
                <w:bCs/>
                <w:lang w:val="es-ES_tradnl"/>
              </w:rPr>
              <w:t>Forma de pago</w:t>
            </w:r>
            <w:r w:rsidRPr="00E011E7">
              <w:rPr>
                <w:rFonts w:asciiTheme="minorHAnsi" w:hAnsiTheme="minorHAnsi" w:cs="Arial"/>
                <w:bCs/>
                <w:lang w:val="es-ES_tradnl"/>
              </w:rPr>
              <w:t xml:space="preserve">: contra realización y aprobación de cada uno de los eventos </w:t>
            </w:r>
            <w:r>
              <w:rPr>
                <w:rFonts w:asciiTheme="minorHAnsi" w:hAnsiTheme="minorHAnsi" w:cs="Arial"/>
                <w:bCs/>
                <w:lang w:val="es-ES_tradnl"/>
              </w:rPr>
              <w:t>realizados.</w:t>
            </w:r>
          </w:p>
        </w:tc>
      </w:tr>
    </w:tbl>
    <w:p w:rsidR="009622A7" w:rsidRPr="0085124F" w:rsidRDefault="009622A7" w:rsidP="009622A7">
      <w:pPr>
        <w:spacing w:line="360" w:lineRule="auto"/>
        <w:rPr>
          <w:rFonts w:asciiTheme="minorHAnsi" w:hAnsiTheme="minorHAnsi"/>
          <w:b/>
          <w:bCs/>
        </w:rPr>
      </w:pPr>
    </w:p>
    <w:p w:rsidR="009622A7" w:rsidRDefault="009622A7" w:rsidP="009622A7">
      <w:pPr>
        <w:spacing w:line="360" w:lineRule="auto"/>
        <w:rPr>
          <w:b/>
          <w:bCs/>
        </w:rPr>
      </w:pPr>
      <w:r>
        <w:rPr>
          <w:b/>
          <w:bCs/>
        </w:rPr>
        <w:t>Anexo 1 Formulario de declaración de origen de la empresa</w:t>
      </w:r>
    </w:p>
    <w:p w:rsidR="009622A7" w:rsidRDefault="009622A7" w:rsidP="009622A7">
      <w:pPr>
        <w:spacing w:line="360" w:lineRule="auto"/>
        <w:rPr>
          <w:b/>
          <w:bCs/>
        </w:rPr>
      </w:pPr>
      <w:r>
        <w:rPr>
          <w:b/>
          <w:bCs/>
        </w:rPr>
        <w:t>Anexo 2 Declaración de mantenimiento de oferta</w:t>
      </w:r>
    </w:p>
    <w:p w:rsidR="009622A7" w:rsidRPr="00E022D4" w:rsidRDefault="009622A7" w:rsidP="009622A7">
      <w:pPr>
        <w:shd w:val="clear" w:color="auto" w:fill="FFFFFF"/>
        <w:spacing w:before="240" w:after="240" w:line="24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>CONDICIONES DE LA SOLICITUD DE COTIZACION</w:t>
      </w:r>
    </w:p>
    <w:p w:rsidR="009622A7" w:rsidRDefault="009622A7" w:rsidP="009622A7">
      <w:pPr>
        <w:spacing w:before="120" w:after="120" w:line="240" w:lineRule="auto"/>
        <w:ind w:left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El servicio de referencia deberá ajustarse a lo siguiente:</w:t>
      </w:r>
    </w:p>
    <w:p w:rsidR="009622A7" w:rsidRPr="00FC4034" w:rsidRDefault="009622A7" w:rsidP="009622A7">
      <w:pPr>
        <w:pStyle w:val="Prrafodelista"/>
        <w:numPr>
          <w:ilvl w:val="0"/>
          <w:numId w:val="20"/>
        </w:numPr>
        <w:suppressAutoHyphens/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FC4034">
        <w:rPr>
          <w:rFonts w:asciiTheme="minorHAnsi" w:hAnsiTheme="minorHAnsi" w:cs="Arial"/>
          <w:bCs/>
          <w:sz w:val="22"/>
          <w:szCs w:val="22"/>
        </w:rPr>
        <w:t xml:space="preserve">La </w:t>
      </w:r>
      <w:r>
        <w:rPr>
          <w:rFonts w:asciiTheme="minorHAnsi" w:hAnsiTheme="minorHAnsi" w:cs="Arial"/>
          <w:bCs/>
          <w:sz w:val="22"/>
          <w:szCs w:val="22"/>
        </w:rPr>
        <w:t>institución</w:t>
      </w:r>
      <w:r w:rsidRPr="00FC4034">
        <w:rPr>
          <w:rFonts w:asciiTheme="minorHAnsi" w:hAnsiTheme="minorHAnsi" w:cs="Arial"/>
          <w:bCs/>
          <w:sz w:val="22"/>
          <w:szCs w:val="22"/>
        </w:rPr>
        <w:t xml:space="preserve"> deberá tener un mínimo de 3 años de experiencia comprobada en </w:t>
      </w:r>
      <w:r>
        <w:rPr>
          <w:rFonts w:asciiTheme="minorHAnsi" w:hAnsiTheme="minorHAnsi" w:cs="Arial"/>
          <w:bCs/>
          <w:sz w:val="22"/>
          <w:szCs w:val="22"/>
        </w:rPr>
        <w:t>el diseño e implementación de actividades lúdico-recreativas dirigidas a niñas y niños de 3 a 12 años</w:t>
      </w:r>
      <w:r w:rsidRPr="00FC4034">
        <w:rPr>
          <w:rFonts w:asciiTheme="minorHAnsi" w:hAnsiTheme="minorHAnsi" w:cs="Arial"/>
          <w:bCs/>
          <w:sz w:val="22"/>
          <w:szCs w:val="22"/>
        </w:rPr>
        <w:t>.  El oferente deberá presentar documentación con una relación de las actividades realizadas en el transcurso de los años 2016 hasta la fecha.</w:t>
      </w:r>
    </w:p>
    <w:p w:rsidR="009622A7" w:rsidRDefault="009622A7" w:rsidP="009622A7">
      <w:pPr>
        <w:pStyle w:val="Prrafodelista"/>
        <w:numPr>
          <w:ilvl w:val="0"/>
          <w:numId w:val="20"/>
        </w:numPr>
        <w:suppressAutoHyphens/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FC4034">
        <w:rPr>
          <w:rFonts w:asciiTheme="minorHAnsi" w:hAnsiTheme="minorHAnsi" w:cs="Arial"/>
          <w:bCs/>
          <w:sz w:val="22"/>
          <w:szCs w:val="22"/>
        </w:rPr>
        <w:t xml:space="preserve">La propuesta deberá especificar </w:t>
      </w:r>
      <w:r>
        <w:rPr>
          <w:rFonts w:asciiTheme="minorHAnsi" w:hAnsiTheme="minorHAnsi" w:cs="Arial"/>
          <w:bCs/>
          <w:sz w:val="22"/>
          <w:szCs w:val="22"/>
        </w:rPr>
        <w:t>el perfil y experiencia de los recursos humanos para realizar el servicio según se describe en el siguiente apartado.</w:t>
      </w:r>
    </w:p>
    <w:p w:rsidR="009622A7" w:rsidRPr="00FC4034" w:rsidRDefault="009622A7" w:rsidP="009622A7">
      <w:pPr>
        <w:pStyle w:val="Prrafodelista"/>
        <w:numPr>
          <w:ilvl w:val="0"/>
          <w:numId w:val="20"/>
        </w:numPr>
        <w:suppressAutoHyphens/>
        <w:spacing w:before="120" w:after="120"/>
        <w:ind w:left="714" w:hanging="357"/>
        <w:contextualSpacing w:val="0"/>
        <w:jc w:val="both"/>
        <w:rPr>
          <w:rFonts w:asciiTheme="minorHAnsi" w:hAnsiTheme="minorHAnsi" w:cs="Arial"/>
          <w:bCs/>
          <w:sz w:val="22"/>
          <w:szCs w:val="22"/>
        </w:rPr>
      </w:pPr>
      <w:r w:rsidRPr="00FC4034">
        <w:rPr>
          <w:rFonts w:asciiTheme="minorHAnsi" w:hAnsiTheme="minorHAnsi" w:cs="Arial"/>
          <w:bCs/>
          <w:sz w:val="22"/>
          <w:szCs w:val="22"/>
        </w:rPr>
        <w:t xml:space="preserve">Será carga del oferente mantener actualizadas sus certificaciones y presentarlas cuando corresponda ante el Ministerio de Desarrollo Social, bajo apercibimiento de las acciones que correspondan en caso de incumplimiento.  </w:t>
      </w:r>
    </w:p>
    <w:p w:rsidR="009622A7" w:rsidRPr="00FC4034" w:rsidRDefault="009622A7" w:rsidP="009622A7">
      <w:pPr>
        <w:shd w:val="clear" w:color="auto" w:fill="FFFFFF"/>
        <w:tabs>
          <w:tab w:val="num" w:pos="720"/>
        </w:tabs>
        <w:spacing w:before="240" w:after="113" w:line="240" w:lineRule="auto"/>
        <w:ind w:left="0"/>
        <w:rPr>
          <w:b/>
          <w:bCs/>
        </w:rPr>
      </w:pPr>
      <w:r>
        <w:rPr>
          <w:b/>
          <w:bCs/>
        </w:rPr>
        <w:br w:type="page"/>
      </w:r>
      <w:r w:rsidRPr="00FC4034">
        <w:rPr>
          <w:b/>
          <w:bCs/>
        </w:rPr>
        <w:lastRenderedPageBreak/>
        <w:t>DESCRIPCIÓN DEL SERVICIO</w:t>
      </w:r>
    </w:p>
    <w:p w:rsidR="009622A7" w:rsidRDefault="009622A7" w:rsidP="009622A7">
      <w:pPr>
        <w:spacing w:before="120" w:after="120" w:line="240" w:lineRule="auto"/>
        <w:ind w:left="0"/>
        <w:rPr>
          <w:rFonts w:cs="Arial"/>
          <w:bCs/>
          <w:color w:val="000000"/>
        </w:rPr>
      </w:pPr>
      <w:r w:rsidRPr="00C2037C">
        <w:rPr>
          <w:rFonts w:cs="Arial"/>
          <w:bCs/>
          <w:color w:val="000000"/>
        </w:rPr>
        <w:t>Contratación de un servicio de d</w:t>
      </w:r>
      <w:r>
        <w:rPr>
          <w:rFonts w:cs="Arial"/>
          <w:bCs/>
          <w:color w:val="000000"/>
        </w:rPr>
        <w:t>iseño e implementación de espacios lúdicos de cuidados en cuatro eventos públicos.</w:t>
      </w:r>
    </w:p>
    <w:p w:rsidR="009622A7" w:rsidRDefault="009622A7" w:rsidP="009622A7">
      <w:pPr>
        <w:spacing w:before="120" w:after="120" w:line="240" w:lineRule="auto"/>
        <w:ind w:left="0"/>
        <w:outlineLvl w:val="0"/>
        <w:rPr>
          <w:rFonts w:eastAsia="Times New Roman"/>
          <w:lang w:eastAsia="es-UY"/>
        </w:rPr>
      </w:pPr>
      <w:bookmarkStart w:id="0" w:name="_s2gp95g18bp1"/>
      <w:bookmarkStart w:id="1" w:name="_39zxzcvn48xv"/>
      <w:bookmarkEnd w:id="0"/>
      <w:bookmarkEnd w:id="1"/>
      <w:r w:rsidRPr="00982A86">
        <w:rPr>
          <w:rFonts w:eastAsia="Times New Roman"/>
          <w:b/>
          <w:bCs/>
          <w:kern w:val="36"/>
          <w:lang w:eastAsia="es-UY"/>
        </w:rPr>
        <w:t>Espacio físico e infraestructura</w:t>
      </w:r>
      <w:r>
        <w:rPr>
          <w:rFonts w:eastAsia="Times New Roman"/>
          <w:bCs/>
          <w:kern w:val="36"/>
          <w:lang w:eastAsia="es-UY"/>
        </w:rPr>
        <w:t>.  El oferente será responsable de l</w:t>
      </w:r>
      <w:r w:rsidRPr="00982A86">
        <w:rPr>
          <w:rFonts w:eastAsia="Times New Roman"/>
          <w:lang w:eastAsia="es-UY"/>
        </w:rPr>
        <w:t xml:space="preserve">os espacios físicos destinados a </w:t>
      </w:r>
      <w:r>
        <w:rPr>
          <w:rFonts w:eastAsia="Times New Roman"/>
          <w:lang w:eastAsia="es-UY"/>
        </w:rPr>
        <w:t xml:space="preserve">cada </w:t>
      </w:r>
      <w:r w:rsidRPr="00982A86">
        <w:rPr>
          <w:rFonts w:eastAsia="Times New Roman"/>
          <w:lang w:eastAsia="es-UY"/>
        </w:rPr>
        <w:t>propuesta</w:t>
      </w:r>
      <w:r>
        <w:rPr>
          <w:rFonts w:eastAsia="Times New Roman"/>
          <w:lang w:eastAsia="es-UY"/>
        </w:rPr>
        <w:t xml:space="preserve"> que serán acordados con la SNC y, en caso que no sea posible que sea parte del lugar donde se desarrolla la actividad</w:t>
      </w:r>
      <w:r w:rsidRPr="00982A86">
        <w:rPr>
          <w:rFonts w:eastAsia="Times New Roman"/>
          <w:lang w:eastAsia="es-UY"/>
        </w:rPr>
        <w:t xml:space="preserve">, podría instalarse una carpa de dimensiones </w:t>
      </w:r>
      <w:r>
        <w:rPr>
          <w:rFonts w:eastAsia="Times New Roman"/>
          <w:lang w:eastAsia="es-UY"/>
        </w:rPr>
        <w:t>suficientes para el desarrollo de la propuesta. El espacio deberá contener elementos que den cuenta de la identidad gráfica del Sistema de Cuidados; los mismos serán proporcionados por la SNC de acuerdo al lugar.</w:t>
      </w:r>
    </w:p>
    <w:p w:rsidR="009622A7" w:rsidRDefault="009622A7" w:rsidP="009622A7">
      <w:pPr>
        <w:spacing w:before="120" w:after="120" w:line="240" w:lineRule="auto"/>
        <w:ind w:left="0"/>
        <w:outlineLvl w:val="0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>Los materiales necesarios para llevar adelante las actividades lúdicas deberán ser proporcionados por el servicio, de acuerdo a la propuesta y características específicas del lugar.</w:t>
      </w:r>
    </w:p>
    <w:p w:rsidR="009622A7" w:rsidRPr="00982A86" w:rsidRDefault="009622A7" w:rsidP="009622A7">
      <w:pPr>
        <w:spacing w:before="120" w:after="120" w:line="240" w:lineRule="auto"/>
        <w:ind w:left="0"/>
        <w:outlineLvl w:val="0"/>
        <w:rPr>
          <w:rFonts w:ascii="Times New Roman" w:eastAsia="Times New Roman" w:hAnsi="Times New Roman"/>
          <w:lang w:eastAsia="es-UY"/>
        </w:rPr>
      </w:pPr>
      <w:bookmarkStart w:id="2" w:name="_l4g3cuie9cz6"/>
      <w:bookmarkEnd w:id="2"/>
      <w:r w:rsidRPr="00982A86">
        <w:rPr>
          <w:rFonts w:eastAsia="Times New Roman"/>
          <w:b/>
          <w:bCs/>
          <w:kern w:val="36"/>
          <w:lang w:eastAsia="es-UY"/>
        </w:rPr>
        <w:t>Recursos Humanos</w:t>
      </w:r>
      <w:r>
        <w:rPr>
          <w:rFonts w:eastAsia="Times New Roman"/>
          <w:bCs/>
          <w:kern w:val="36"/>
          <w:lang w:eastAsia="es-UY"/>
        </w:rPr>
        <w:t xml:space="preserve">. </w:t>
      </w:r>
      <w:r>
        <w:rPr>
          <w:rFonts w:eastAsia="Times New Roman"/>
          <w:lang w:eastAsia="es-UY"/>
        </w:rPr>
        <w:t>El E</w:t>
      </w:r>
      <w:r w:rsidRPr="00982A86">
        <w:rPr>
          <w:rFonts w:eastAsia="Times New Roman"/>
          <w:lang w:eastAsia="es-UY"/>
        </w:rPr>
        <w:t>spacio de Cuidado deberá contar con un</w:t>
      </w:r>
      <w:r>
        <w:rPr>
          <w:rFonts w:eastAsia="Times New Roman"/>
          <w:lang w:eastAsia="es-UY"/>
        </w:rPr>
        <w:t>a persona responsable técnica</w:t>
      </w:r>
      <w:r w:rsidRPr="00982A86">
        <w:rPr>
          <w:rFonts w:eastAsia="Times New Roman"/>
          <w:lang w:eastAsia="es-UY"/>
        </w:rPr>
        <w:t xml:space="preserve"> co</w:t>
      </w:r>
      <w:r>
        <w:rPr>
          <w:rFonts w:eastAsia="Times New Roman"/>
          <w:lang w:eastAsia="es-UY"/>
        </w:rPr>
        <w:t>n formación terciaria vinculada</w:t>
      </w:r>
      <w:r w:rsidRPr="00982A86">
        <w:rPr>
          <w:rFonts w:eastAsia="Times New Roman"/>
          <w:lang w:eastAsia="es-UY"/>
        </w:rPr>
        <w:t xml:space="preserve"> al área de recreación, deporte, animación cultural, etc.</w:t>
      </w:r>
      <w:r>
        <w:rPr>
          <w:rFonts w:eastAsia="Times New Roman"/>
          <w:lang w:eastAsia="es-UY"/>
        </w:rPr>
        <w:t>, quien participará</w:t>
      </w:r>
      <w:r w:rsidRPr="00982A86">
        <w:rPr>
          <w:rFonts w:eastAsia="Times New Roman"/>
          <w:lang w:eastAsia="es-UY"/>
        </w:rPr>
        <w:t xml:space="preserve"> de la planificación y coordinación de la propuesta de cuidado-lúdica.</w:t>
      </w:r>
    </w:p>
    <w:p w:rsidR="009622A7" w:rsidRDefault="009622A7" w:rsidP="009622A7">
      <w:pPr>
        <w:spacing w:before="120" w:after="120" w:line="240" w:lineRule="auto"/>
        <w:ind w:left="0"/>
        <w:rPr>
          <w:rFonts w:eastAsia="Times New Roman"/>
          <w:lang w:eastAsia="es-UY"/>
        </w:rPr>
      </w:pPr>
      <w:r w:rsidRPr="00982A86">
        <w:rPr>
          <w:rFonts w:eastAsia="Times New Roman"/>
          <w:lang w:eastAsia="es-UY"/>
        </w:rPr>
        <w:t xml:space="preserve">La atención directa con niñas y niños deberá estar a cargo de educadores, recreadores, </w:t>
      </w:r>
      <w:r>
        <w:rPr>
          <w:rFonts w:eastAsia="Times New Roman"/>
          <w:lang w:eastAsia="es-UY"/>
        </w:rPr>
        <w:t>según los</w:t>
      </w:r>
      <w:r w:rsidRPr="00982A86">
        <w:rPr>
          <w:rFonts w:eastAsia="Times New Roman"/>
          <w:lang w:eastAsia="es-UY"/>
        </w:rPr>
        <w:t xml:space="preserve"> siguientes ratios: </w:t>
      </w:r>
      <w:r>
        <w:rPr>
          <w:rFonts w:eastAsia="Times New Roman"/>
          <w:lang w:eastAsia="es-UY"/>
        </w:rPr>
        <w:t xml:space="preserve">una persona cada 15 niños y niñas de 3 a 6 años, una persona cada 20 niñas y niños de 7 a 12 años y una persona </w:t>
      </w:r>
      <w:r w:rsidRPr="00982A86">
        <w:rPr>
          <w:rFonts w:eastAsia="Times New Roman"/>
          <w:lang w:eastAsia="es-UY"/>
        </w:rPr>
        <w:t xml:space="preserve">sin asistencia directa para la atención de </w:t>
      </w:r>
      <w:r>
        <w:rPr>
          <w:rFonts w:eastAsia="Times New Roman"/>
          <w:lang w:eastAsia="es-UY"/>
        </w:rPr>
        <w:t>cuestiones particulares como el</w:t>
      </w:r>
      <w:r w:rsidRPr="00982A86">
        <w:rPr>
          <w:rFonts w:eastAsia="Times New Roman"/>
          <w:lang w:eastAsia="es-UY"/>
        </w:rPr>
        <w:t xml:space="preserve"> acompaña</w:t>
      </w:r>
      <w:r>
        <w:rPr>
          <w:rFonts w:eastAsia="Times New Roman"/>
          <w:lang w:eastAsia="es-UY"/>
        </w:rPr>
        <w:t>miento</w:t>
      </w:r>
      <w:r w:rsidRPr="00982A86">
        <w:rPr>
          <w:rFonts w:eastAsia="Times New Roman"/>
          <w:lang w:eastAsia="es-UY"/>
        </w:rPr>
        <w:t xml:space="preserve"> al baño</w:t>
      </w:r>
      <w:r>
        <w:rPr>
          <w:rFonts w:eastAsia="Times New Roman"/>
          <w:lang w:eastAsia="es-UY"/>
        </w:rPr>
        <w:t>,</w:t>
      </w:r>
      <w:r w:rsidRPr="00982A86">
        <w:rPr>
          <w:rFonts w:eastAsia="Times New Roman"/>
          <w:lang w:eastAsia="es-UY"/>
        </w:rPr>
        <w:t xml:space="preserve"> preparación de materiales, li</w:t>
      </w:r>
      <w:r>
        <w:rPr>
          <w:rFonts w:eastAsia="Times New Roman"/>
          <w:lang w:eastAsia="es-UY"/>
        </w:rPr>
        <w:t>mpieza, etc.</w:t>
      </w:r>
    </w:p>
    <w:p w:rsidR="009622A7" w:rsidRDefault="009622A7" w:rsidP="009622A7">
      <w:pPr>
        <w:spacing w:before="120" w:after="120" w:line="240" w:lineRule="auto"/>
        <w:ind w:left="0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 xml:space="preserve">Una persona deberá llevar el registro de participantes. </w:t>
      </w:r>
      <w:r w:rsidRPr="00982A86">
        <w:rPr>
          <w:rFonts w:eastAsia="Times New Roman"/>
          <w:lang w:eastAsia="es-UY"/>
        </w:rPr>
        <w:t xml:space="preserve">Al momento de que el niño o la niña </w:t>
      </w:r>
      <w:r>
        <w:rPr>
          <w:rFonts w:eastAsia="Times New Roman"/>
          <w:lang w:eastAsia="es-UY"/>
        </w:rPr>
        <w:t>ingrese al Espacio de Cuidado</w:t>
      </w:r>
      <w:r w:rsidRPr="00982A86">
        <w:rPr>
          <w:rFonts w:eastAsia="Times New Roman"/>
          <w:lang w:eastAsia="es-UY"/>
        </w:rPr>
        <w:t>, la persona</w:t>
      </w:r>
      <w:r>
        <w:rPr>
          <w:rFonts w:eastAsia="Times New Roman"/>
          <w:lang w:eastAsia="es-UY"/>
        </w:rPr>
        <w:t xml:space="preserve"> </w:t>
      </w:r>
      <w:r w:rsidRPr="00982A86">
        <w:rPr>
          <w:rFonts w:eastAsia="Times New Roman"/>
          <w:lang w:eastAsia="es-UY"/>
        </w:rPr>
        <w:t xml:space="preserve">referente adulta deberá </w:t>
      </w:r>
      <w:r>
        <w:rPr>
          <w:rFonts w:eastAsia="Times New Roman"/>
          <w:lang w:eastAsia="es-UY"/>
        </w:rPr>
        <w:t>completar</w:t>
      </w:r>
      <w:r w:rsidRPr="00982A86">
        <w:rPr>
          <w:rFonts w:eastAsia="Times New Roman"/>
          <w:lang w:eastAsia="es-UY"/>
        </w:rPr>
        <w:t xml:space="preserve"> un formulario de inscripción así como también </w:t>
      </w:r>
      <w:r>
        <w:rPr>
          <w:rFonts w:eastAsia="Times New Roman"/>
          <w:lang w:eastAsia="es-UY"/>
        </w:rPr>
        <w:t>firmar una</w:t>
      </w:r>
      <w:r w:rsidRPr="00982A86">
        <w:rPr>
          <w:rFonts w:eastAsia="Times New Roman"/>
          <w:lang w:eastAsia="es-UY"/>
        </w:rPr>
        <w:t xml:space="preserve"> autorización</w:t>
      </w:r>
      <w:r>
        <w:rPr>
          <w:rFonts w:eastAsia="Times New Roman"/>
          <w:lang w:eastAsia="es-UY"/>
        </w:rPr>
        <w:t xml:space="preserve">, que incluirá los </w:t>
      </w:r>
      <w:r w:rsidRPr="00982A86">
        <w:rPr>
          <w:rFonts w:eastAsia="Times New Roman"/>
          <w:lang w:eastAsia="es-UY"/>
        </w:rPr>
        <w:t>siguientes datos:</w:t>
      </w:r>
      <w:r>
        <w:rPr>
          <w:rFonts w:eastAsia="Times New Roman"/>
          <w:lang w:eastAsia="es-UY"/>
        </w:rPr>
        <w:t xml:space="preserve"> d</w:t>
      </w:r>
      <w:r w:rsidRPr="00982A86">
        <w:rPr>
          <w:rFonts w:eastAsia="Times New Roman"/>
          <w:lang w:eastAsia="es-UY"/>
        </w:rPr>
        <w:t>atos de identificación de</w:t>
      </w:r>
      <w:r>
        <w:rPr>
          <w:rFonts w:eastAsia="Times New Roman"/>
          <w:lang w:eastAsia="es-UY"/>
        </w:rPr>
        <w:t xml:space="preserve"> la niña o e</w:t>
      </w:r>
      <w:r w:rsidRPr="00982A86">
        <w:rPr>
          <w:rFonts w:eastAsia="Times New Roman"/>
          <w:lang w:eastAsia="es-UY"/>
        </w:rPr>
        <w:t>l niño y</w:t>
      </w:r>
      <w:r>
        <w:rPr>
          <w:rFonts w:eastAsia="Times New Roman"/>
          <w:lang w:eastAsia="es-UY"/>
        </w:rPr>
        <w:t xml:space="preserve"> de</w:t>
      </w:r>
      <w:r w:rsidRPr="00982A86">
        <w:rPr>
          <w:rFonts w:eastAsia="Times New Roman"/>
          <w:lang w:eastAsia="es-UY"/>
        </w:rPr>
        <w:t xml:space="preserve"> la persona referente</w:t>
      </w:r>
      <w:r>
        <w:rPr>
          <w:rFonts w:eastAsia="Times New Roman"/>
          <w:lang w:eastAsia="es-UY"/>
        </w:rPr>
        <w:t>, teléfono móvil de contacto, datos del prestador de salud y/o emergencia médica y datos vinculados a cuestiones puntuales de salud (alergias, enfermedades, etc.); consentimiento sobre el uso de imágenes de las niñas y niños para publicar y difundir en el marco del Sistema de Cuidados.</w:t>
      </w:r>
    </w:p>
    <w:p w:rsidR="009622A7" w:rsidRPr="008C22D9" w:rsidRDefault="009622A7" w:rsidP="009622A7">
      <w:pPr>
        <w:spacing w:before="120" w:after="120" w:line="240" w:lineRule="auto"/>
        <w:ind w:left="0"/>
        <w:rPr>
          <w:rFonts w:eastAsia="Times New Roman"/>
          <w:lang w:eastAsia="es-UY"/>
        </w:rPr>
      </w:pPr>
      <w:r w:rsidRPr="00212E10">
        <w:rPr>
          <w:rFonts w:eastAsia="Times New Roman"/>
          <w:b/>
          <w:lang w:eastAsia="es-UY"/>
        </w:rPr>
        <w:t>Propuesta</w:t>
      </w:r>
      <w:r>
        <w:rPr>
          <w:rFonts w:eastAsia="Times New Roman"/>
          <w:lang w:eastAsia="es-UY"/>
        </w:rPr>
        <w:t>. El oferente deberá diseñar e implementar</w:t>
      </w:r>
      <w:r w:rsidRPr="008C22D9">
        <w:rPr>
          <w:rFonts w:eastAsia="Times New Roman"/>
          <w:lang w:eastAsia="es-UY"/>
        </w:rPr>
        <w:t xml:space="preserve"> una propuesta lúdico </w:t>
      </w:r>
      <w:r>
        <w:rPr>
          <w:rFonts w:eastAsia="Times New Roman"/>
          <w:lang w:eastAsia="es-UY"/>
        </w:rPr>
        <w:t xml:space="preserve">- </w:t>
      </w:r>
      <w:r w:rsidRPr="008C22D9">
        <w:rPr>
          <w:rFonts w:eastAsia="Times New Roman"/>
          <w:lang w:eastAsia="es-UY"/>
        </w:rPr>
        <w:t xml:space="preserve">recreativa, con el objetivo principal de brindar un espacio de cuidado, que permita participar tanto a mujeres como varones con hijas e hijos a participar de las actividades </w:t>
      </w:r>
      <w:r>
        <w:rPr>
          <w:rFonts w:eastAsia="Times New Roman"/>
          <w:lang w:eastAsia="es-UY"/>
        </w:rPr>
        <w:t>mencionadas en la solicitud de cotización.</w:t>
      </w:r>
    </w:p>
    <w:p w:rsidR="009622A7" w:rsidRPr="008C22D9" w:rsidRDefault="009622A7" w:rsidP="009622A7">
      <w:pPr>
        <w:spacing w:before="120" w:after="120" w:line="240" w:lineRule="auto"/>
        <w:ind w:left="0"/>
        <w:rPr>
          <w:rFonts w:eastAsia="Times New Roman"/>
          <w:lang w:eastAsia="es-UY"/>
        </w:rPr>
      </w:pPr>
      <w:r w:rsidRPr="008C22D9">
        <w:rPr>
          <w:rFonts w:eastAsia="Times New Roman"/>
          <w:lang w:eastAsia="es-UY"/>
        </w:rPr>
        <w:t xml:space="preserve">Las personas que se encuentren a cargo del desarrollo de las actividades deberán contar con un plan de trabajo flexible y dinámico que contemple los intereses de los niños y niñas que estén presentes, de acuerdo a su ciclo vital y características. </w:t>
      </w:r>
    </w:p>
    <w:p w:rsidR="009622A7" w:rsidRPr="008C22D9" w:rsidRDefault="009622A7" w:rsidP="009622A7">
      <w:pPr>
        <w:spacing w:before="120" w:after="120" w:line="240" w:lineRule="auto"/>
        <w:ind w:left="0"/>
        <w:rPr>
          <w:rFonts w:eastAsia="Times New Roman"/>
          <w:lang w:eastAsia="es-UY"/>
        </w:rPr>
      </w:pPr>
      <w:r>
        <w:rPr>
          <w:rFonts w:eastAsia="Times New Roman"/>
          <w:lang w:eastAsia="es-UY"/>
        </w:rPr>
        <w:t>La propuesta</w:t>
      </w:r>
      <w:r w:rsidRPr="008C22D9">
        <w:rPr>
          <w:rFonts w:eastAsia="Times New Roman"/>
          <w:lang w:eastAsia="es-UY"/>
        </w:rPr>
        <w:t xml:space="preserve"> </w:t>
      </w:r>
      <w:r>
        <w:rPr>
          <w:rFonts w:eastAsia="Times New Roman"/>
          <w:lang w:eastAsia="es-UY"/>
        </w:rPr>
        <w:t xml:space="preserve">deberá </w:t>
      </w:r>
      <w:r w:rsidRPr="008C22D9">
        <w:rPr>
          <w:rFonts w:eastAsia="Times New Roman"/>
          <w:lang w:eastAsia="es-UY"/>
        </w:rPr>
        <w:t xml:space="preserve">contener la organización de espacios y talleres temáticos como ser: arte, dramatización, juegos de construcción, juegos reglados, así como espectáculos artísticos como show de títeres, circo, musicales, etc. </w:t>
      </w:r>
    </w:p>
    <w:p w:rsidR="009622A7" w:rsidRPr="00D01BAF" w:rsidRDefault="009622A7" w:rsidP="009622A7">
      <w:pPr>
        <w:shd w:val="clear" w:color="auto" w:fill="FFFFFF"/>
        <w:tabs>
          <w:tab w:val="num" w:pos="720"/>
        </w:tabs>
        <w:spacing w:before="240" w:after="113" w:line="240" w:lineRule="auto"/>
        <w:ind w:left="0"/>
        <w:rPr>
          <w:b/>
          <w:bCs/>
        </w:rPr>
      </w:pPr>
      <w:r>
        <w:rPr>
          <w:b/>
          <w:bCs/>
        </w:rPr>
        <w:t>PRECIO Y COTIZACIÓN</w:t>
      </w:r>
    </w:p>
    <w:p w:rsidR="009622A7" w:rsidRDefault="009622A7" w:rsidP="009622A7">
      <w:pPr>
        <w:spacing w:before="120" w:after="120" w:line="240" w:lineRule="auto"/>
        <w:ind w:left="0"/>
        <w:rPr>
          <w:rFonts w:eastAsia="Times New Roman"/>
          <w:lang w:eastAsia="es-UY"/>
        </w:rPr>
      </w:pPr>
      <w:r w:rsidRPr="00212E10">
        <w:rPr>
          <w:rFonts w:eastAsia="Times New Roman"/>
          <w:lang w:eastAsia="es-UY"/>
        </w:rPr>
        <w:t xml:space="preserve">El precio cotizado deberá expresarse en pesos uruguayos, debiendo discriminarse el precio por </w:t>
      </w:r>
      <w:r>
        <w:rPr>
          <w:rFonts w:eastAsia="Times New Roman"/>
          <w:lang w:eastAsia="es-UY"/>
        </w:rPr>
        <w:t>cada uno de los cuatro eventos públicos previstos</w:t>
      </w:r>
      <w:r w:rsidRPr="00212E10">
        <w:rPr>
          <w:rFonts w:eastAsia="Times New Roman"/>
          <w:lang w:eastAsia="es-UY"/>
        </w:rPr>
        <w:t xml:space="preserve"> y el Impuesto al Valor Agregado. Dicha cotización deberá mantenerse por el plazo de ejecución del servicio.</w:t>
      </w:r>
    </w:p>
    <w:p w:rsidR="009622A7" w:rsidRPr="002342CB" w:rsidRDefault="009622A7" w:rsidP="009622A7">
      <w:pPr>
        <w:shd w:val="clear" w:color="auto" w:fill="FFFFFF"/>
        <w:tabs>
          <w:tab w:val="num" w:pos="720"/>
        </w:tabs>
        <w:spacing w:before="240" w:after="113" w:line="240" w:lineRule="auto"/>
        <w:ind w:left="0"/>
        <w:rPr>
          <w:b/>
          <w:bCs/>
        </w:rPr>
      </w:pPr>
      <w:r w:rsidRPr="002342CB">
        <w:rPr>
          <w:b/>
          <w:bCs/>
        </w:rPr>
        <w:t>CRITERIOS DE COMPARACIÓN</w:t>
      </w:r>
    </w:p>
    <w:p w:rsidR="009622A7" w:rsidRPr="002342CB" w:rsidRDefault="009622A7" w:rsidP="009622A7">
      <w:pPr>
        <w:spacing w:before="120" w:after="120" w:line="240" w:lineRule="auto"/>
        <w:ind w:left="0"/>
        <w:rPr>
          <w:rFonts w:eastAsia="Times New Roman"/>
          <w:lang w:eastAsia="es-UY"/>
        </w:rPr>
      </w:pPr>
      <w:r w:rsidRPr="002342CB">
        <w:rPr>
          <w:rFonts w:eastAsia="Times New Roman"/>
          <w:lang w:eastAsia="es-UY"/>
        </w:rPr>
        <w:t>Las propuestas serán evaluadas sobre la base de los siguientes criterios: idoneidad y experiencia y precio, factores a los que se asignarán como máximo los siguientes puntajes:</w:t>
      </w:r>
    </w:p>
    <w:p w:rsidR="009622A7" w:rsidRPr="002342CB" w:rsidRDefault="009622A7" w:rsidP="009622A7">
      <w:pPr>
        <w:spacing w:before="120" w:after="120" w:line="240" w:lineRule="auto"/>
        <w:ind w:left="0"/>
        <w:jc w:val="center"/>
        <w:rPr>
          <w:rFonts w:eastAsia="Times New Roman"/>
          <w:lang w:eastAsia="es-UY"/>
        </w:rPr>
      </w:pPr>
      <w:r w:rsidRPr="002342CB">
        <w:rPr>
          <w:rFonts w:eastAsia="Times New Roman"/>
          <w:lang w:eastAsia="es-UY"/>
        </w:rPr>
        <w:t>Idoneidad y experiencia: 30</w:t>
      </w:r>
    </w:p>
    <w:p w:rsidR="009622A7" w:rsidRDefault="009622A7" w:rsidP="009622A7">
      <w:pPr>
        <w:spacing w:before="120" w:after="120" w:line="240" w:lineRule="auto"/>
        <w:ind w:left="0"/>
        <w:jc w:val="center"/>
        <w:rPr>
          <w:rFonts w:eastAsia="Times New Roman"/>
          <w:lang w:eastAsia="es-UY"/>
        </w:rPr>
      </w:pPr>
      <w:r w:rsidRPr="002342CB">
        <w:rPr>
          <w:rFonts w:eastAsia="Times New Roman"/>
          <w:lang w:eastAsia="es-UY"/>
        </w:rPr>
        <w:t>Precio: 70</w:t>
      </w:r>
    </w:p>
    <w:p w:rsidR="009622A7" w:rsidRDefault="009622A7" w:rsidP="009622A7">
      <w:pPr>
        <w:spacing w:before="120" w:after="120" w:line="240" w:lineRule="auto"/>
        <w:ind w:left="0"/>
        <w:jc w:val="center"/>
        <w:rPr>
          <w:rFonts w:cs="Arial"/>
          <w:bCs/>
          <w:color w:val="000000"/>
          <w:kern w:val="1"/>
          <w:u w:val="single"/>
        </w:rPr>
      </w:pPr>
    </w:p>
    <w:p w:rsidR="009622A7" w:rsidRDefault="009622A7" w:rsidP="009622A7">
      <w:pPr>
        <w:spacing w:before="120" w:after="120" w:line="240" w:lineRule="auto"/>
        <w:ind w:left="0"/>
        <w:rPr>
          <w:rFonts w:cs="Arial"/>
          <w:bCs/>
          <w:color w:val="000000"/>
          <w:kern w:val="1"/>
        </w:rPr>
      </w:pPr>
      <w:r>
        <w:rPr>
          <w:rFonts w:cs="Arial"/>
          <w:bCs/>
          <w:color w:val="000000"/>
          <w:kern w:val="1"/>
          <w:u w:val="single"/>
        </w:rPr>
        <w:t>Idoneidad y experiencia:</w:t>
      </w:r>
    </w:p>
    <w:p w:rsidR="009622A7" w:rsidRDefault="009622A7" w:rsidP="009622A7">
      <w:pPr>
        <w:spacing w:before="120" w:after="120" w:line="240" w:lineRule="auto"/>
        <w:ind w:left="0"/>
        <w:rPr>
          <w:rFonts w:cs="Arial"/>
          <w:bCs/>
          <w:color w:val="000000"/>
          <w:kern w:val="1"/>
        </w:rPr>
      </w:pPr>
      <w:r>
        <w:rPr>
          <w:rFonts w:cs="Arial"/>
          <w:bCs/>
          <w:color w:val="000000"/>
          <w:kern w:val="1"/>
        </w:rPr>
        <w:t>Se tomarán los antecedentes en la realización de actividades</w:t>
      </w:r>
      <w:r w:rsidRPr="006F0961">
        <w:rPr>
          <w:rFonts w:cs="Arial"/>
          <w:bCs/>
          <w:color w:val="000000"/>
          <w:kern w:val="1"/>
        </w:rPr>
        <w:t xml:space="preserve"> lúdico-recreativas dirigidas a niñas y niños de 3 a 12 años</w:t>
      </w:r>
      <w:r>
        <w:rPr>
          <w:rFonts w:cs="Arial"/>
          <w:bCs/>
          <w:color w:val="000000"/>
          <w:kern w:val="1"/>
        </w:rPr>
        <w:t xml:space="preserve"> realizadas</w:t>
      </w:r>
      <w:r w:rsidRPr="006F0961">
        <w:rPr>
          <w:rFonts w:cs="Arial"/>
          <w:bCs/>
          <w:color w:val="000000"/>
          <w:kern w:val="1"/>
        </w:rPr>
        <w:t xml:space="preserve"> en el transcurso de los años 2016 hasta la fecha.</w:t>
      </w:r>
      <w:r>
        <w:rPr>
          <w:rFonts w:cs="Arial"/>
          <w:bCs/>
          <w:color w:val="000000"/>
          <w:kern w:val="1"/>
        </w:rPr>
        <w:t xml:space="preserve"> Por lo que se deberá detallar grado de complejidad</w:t>
      </w:r>
      <w:r w:rsidRPr="006F0961">
        <w:rPr>
          <w:rFonts w:cs="Arial"/>
          <w:bCs/>
          <w:color w:val="000000"/>
          <w:kern w:val="1"/>
        </w:rPr>
        <w:t xml:space="preserve"> y alcance de las actividades realizadas</w:t>
      </w:r>
      <w:r>
        <w:rPr>
          <w:rFonts w:cs="Arial"/>
          <w:bCs/>
          <w:color w:val="000000"/>
          <w:kern w:val="1"/>
        </w:rPr>
        <w:t>.</w:t>
      </w:r>
    </w:p>
    <w:p w:rsidR="009622A7" w:rsidRDefault="009622A7" w:rsidP="009622A7">
      <w:pPr>
        <w:spacing w:before="120" w:after="120" w:line="240" w:lineRule="auto"/>
        <w:ind w:left="0"/>
        <w:rPr>
          <w:rFonts w:cs="Arial"/>
          <w:bCs/>
          <w:color w:val="000000"/>
          <w:kern w:val="1"/>
        </w:rPr>
      </w:pPr>
      <w:r>
        <w:rPr>
          <w:rFonts w:cs="Arial"/>
          <w:bCs/>
          <w:color w:val="000000"/>
          <w:kern w:val="1"/>
        </w:rPr>
        <w:t>Se evaluará los antecedentes asignando hasta cinco (5) puntos por cada antecedente que se ajuste al trabajo a realizar. Máximo (20) puntos.</w:t>
      </w:r>
    </w:p>
    <w:p w:rsidR="009622A7" w:rsidRPr="006F0961" w:rsidRDefault="009622A7" w:rsidP="009622A7">
      <w:pPr>
        <w:spacing w:before="120" w:after="120" w:line="240" w:lineRule="auto"/>
        <w:ind w:left="0"/>
        <w:rPr>
          <w:rFonts w:cs="Arial"/>
          <w:bCs/>
          <w:color w:val="000000"/>
          <w:kern w:val="1"/>
        </w:rPr>
      </w:pPr>
      <w:r>
        <w:rPr>
          <w:rFonts w:asciiTheme="minorHAnsi" w:hAnsiTheme="minorHAnsi" w:cs="Arial"/>
          <w:bCs/>
        </w:rPr>
        <w:t>Perfil y experiencia de los recursos humanos para realizar el servicio. Se evaluará hasta cinco (5) puntos por cada recurso humano que se ajuste al trabajo a realizar. Máximo (10) puntos.</w:t>
      </w:r>
    </w:p>
    <w:p w:rsidR="009622A7" w:rsidRDefault="009622A7" w:rsidP="009622A7">
      <w:pPr>
        <w:spacing w:before="120" w:after="120" w:line="240" w:lineRule="auto"/>
        <w:ind w:left="0"/>
        <w:rPr>
          <w:rFonts w:cs="Arial"/>
          <w:bCs/>
          <w:color w:val="000000"/>
          <w:kern w:val="1"/>
        </w:rPr>
      </w:pPr>
      <w:r>
        <w:rPr>
          <w:rFonts w:cs="Arial"/>
          <w:bCs/>
          <w:color w:val="000000"/>
          <w:kern w:val="1"/>
        </w:rPr>
        <w:t>La Secretaría Nacional de Cuidados se reserva el derecho de verificar la exactitud de la información brindada por el oferente y requerir referencias de los respectivos clientes.</w:t>
      </w:r>
    </w:p>
    <w:p w:rsidR="009622A7" w:rsidRDefault="009622A7" w:rsidP="009622A7">
      <w:pPr>
        <w:spacing w:before="120" w:after="120" w:line="240" w:lineRule="auto"/>
        <w:ind w:left="0"/>
        <w:rPr>
          <w:rFonts w:cs="Arial"/>
          <w:bCs/>
          <w:color w:val="000000"/>
          <w:kern w:val="1"/>
          <w:u w:val="single"/>
        </w:rPr>
      </w:pPr>
      <w:r>
        <w:rPr>
          <w:rFonts w:cs="Arial"/>
          <w:bCs/>
          <w:color w:val="000000"/>
          <w:kern w:val="1"/>
        </w:rPr>
        <w:t>Se deberá tener un mínimo de 10 puntos para ser evaluado por el factor precio.</w:t>
      </w:r>
    </w:p>
    <w:p w:rsidR="009622A7" w:rsidRDefault="009622A7" w:rsidP="009622A7">
      <w:pPr>
        <w:spacing w:before="120" w:after="120" w:line="240" w:lineRule="auto"/>
        <w:ind w:left="0"/>
        <w:rPr>
          <w:rFonts w:cs="Arial"/>
          <w:bCs/>
          <w:color w:val="000000"/>
          <w:kern w:val="1"/>
        </w:rPr>
      </w:pPr>
      <w:r>
        <w:rPr>
          <w:rFonts w:cs="Arial"/>
          <w:bCs/>
          <w:color w:val="000000"/>
          <w:kern w:val="1"/>
          <w:u w:val="single"/>
        </w:rPr>
        <w:t xml:space="preserve">Precio </w:t>
      </w:r>
    </w:p>
    <w:p w:rsidR="009622A7" w:rsidRDefault="009622A7" w:rsidP="009622A7">
      <w:pPr>
        <w:spacing w:before="120" w:after="120" w:line="240" w:lineRule="auto"/>
        <w:ind w:left="0"/>
        <w:rPr>
          <w:rFonts w:cs="Arial"/>
          <w:bCs/>
          <w:color w:val="000000"/>
          <w:kern w:val="1"/>
        </w:rPr>
      </w:pPr>
      <w:r>
        <w:rPr>
          <w:rFonts w:cs="Arial"/>
          <w:bCs/>
          <w:color w:val="000000"/>
          <w:kern w:val="1"/>
        </w:rPr>
        <w:t>Se asignarán 70 puntos a la oferta de menor precio y se asignará a cada una de las restantes un puntaje proporcionalmente menor, resultante de su comparación con la primera.</w:t>
      </w:r>
    </w:p>
    <w:p w:rsidR="009622A7" w:rsidRDefault="009622A7" w:rsidP="009622A7">
      <w:pPr>
        <w:spacing w:before="120" w:after="120" w:line="240" w:lineRule="auto"/>
        <w:ind w:left="0"/>
        <w:rPr>
          <w:rFonts w:cs="Arial"/>
          <w:bCs/>
          <w:color w:val="000000"/>
          <w:kern w:val="1"/>
        </w:rPr>
      </w:pPr>
      <w:r w:rsidRPr="0055534F">
        <w:rPr>
          <w:rFonts w:cs="Arial"/>
          <w:bCs/>
          <w:color w:val="000000"/>
          <w:kern w:val="1"/>
        </w:rPr>
        <w:t xml:space="preserve">La Secretaría Nacional de Cuidados tiene un presupuesto estimado de </w:t>
      </w:r>
      <w:r w:rsidRPr="007518C3">
        <w:rPr>
          <w:rFonts w:cs="Arial"/>
          <w:bCs/>
          <w:color w:val="000000"/>
          <w:kern w:val="1"/>
        </w:rPr>
        <w:t>$140.000 (pesos uruguayos cien cuarenta mil)</w:t>
      </w:r>
      <w:r w:rsidRPr="0055534F">
        <w:rPr>
          <w:rFonts w:cs="Arial"/>
          <w:bCs/>
          <w:color w:val="000000"/>
          <w:kern w:val="1"/>
        </w:rPr>
        <w:t xml:space="preserve"> más IVA para financiar </w:t>
      </w:r>
      <w:r>
        <w:rPr>
          <w:rFonts w:cs="Arial"/>
          <w:bCs/>
          <w:color w:val="000000"/>
          <w:kern w:val="1"/>
        </w:rPr>
        <w:t>este servicio de espacios lúdico recreativos de cuidados en eventos públicos.</w:t>
      </w:r>
    </w:p>
    <w:p w:rsidR="009622A7" w:rsidRPr="00D01BAF" w:rsidRDefault="009622A7" w:rsidP="009622A7">
      <w:pPr>
        <w:shd w:val="clear" w:color="auto" w:fill="FFFFFF"/>
        <w:spacing w:before="240" w:after="240" w:line="240" w:lineRule="auto"/>
        <w:ind w:left="0"/>
        <w:rPr>
          <w:b/>
          <w:bCs/>
          <w:u w:val="single"/>
        </w:rPr>
      </w:pPr>
      <w:r w:rsidRPr="00D01BAF">
        <w:rPr>
          <w:b/>
          <w:bCs/>
          <w:u w:val="single"/>
        </w:rPr>
        <w:t>REQUISITOS OBLIGATORIOS PARA LA PRESENTACION DE OFERTAS</w:t>
      </w:r>
    </w:p>
    <w:p w:rsidR="009622A7" w:rsidRDefault="009622A7" w:rsidP="009622A7">
      <w:pPr>
        <w:spacing w:before="113" w:after="113" w:line="200" w:lineRule="atLeast"/>
        <w:ind w:left="0"/>
        <w:rPr>
          <w:b/>
          <w:bCs/>
          <w:color w:val="000000"/>
          <w:kern w:val="1"/>
        </w:rPr>
      </w:pPr>
      <w:r>
        <w:rPr>
          <w:bCs/>
          <w:color w:val="000000"/>
          <w:kern w:val="1"/>
        </w:rPr>
        <w:t>La oferta debe ser presentada en español como idioma principal y deberá incluir los documentos indicados a continuación:</w:t>
      </w:r>
    </w:p>
    <w:p w:rsidR="009622A7" w:rsidRDefault="009622A7" w:rsidP="009622A7">
      <w:pPr>
        <w:numPr>
          <w:ilvl w:val="0"/>
          <w:numId w:val="10"/>
        </w:numPr>
        <w:suppressAutoHyphens/>
        <w:spacing w:before="113" w:after="113" w:line="200" w:lineRule="atLeast"/>
        <w:ind w:left="0" w:firstLine="0"/>
        <w:rPr>
          <w:bCs/>
          <w:color w:val="000000"/>
          <w:kern w:val="1"/>
        </w:rPr>
      </w:pPr>
      <w:r w:rsidRPr="00E022D4">
        <w:rPr>
          <w:b/>
          <w:bCs/>
          <w:color w:val="000000"/>
          <w:kern w:val="1"/>
        </w:rPr>
        <w:t>Propuesta Económica</w:t>
      </w:r>
      <w:r w:rsidRPr="00E022D4">
        <w:rPr>
          <w:bCs/>
          <w:color w:val="000000"/>
          <w:kern w:val="1"/>
        </w:rPr>
        <w:t xml:space="preserve"> firmada por un representante legal de la empresa. </w:t>
      </w:r>
    </w:p>
    <w:p w:rsidR="009622A7" w:rsidRPr="00703766" w:rsidRDefault="009622A7" w:rsidP="009622A7">
      <w:pPr>
        <w:numPr>
          <w:ilvl w:val="0"/>
          <w:numId w:val="10"/>
        </w:numPr>
        <w:suppressAutoHyphens/>
        <w:spacing w:before="113" w:after="113" w:line="200" w:lineRule="atLeast"/>
        <w:ind w:left="0" w:firstLine="0"/>
        <w:rPr>
          <w:bCs/>
          <w:color w:val="000000"/>
          <w:kern w:val="1"/>
        </w:rPr>
      </w:pPr>
      <w:r w:rsidRPr="00703766">
        <w:rPr>
          <w:b/>
          <w:bCs/>
          <w:color w:val="000000"/>
          <w:kern w:val="1"/>
        </w:rPr>
        <w:t>Propuesta Técnica</w:t>
      </w:r>
      <w:r w:rsidRPr="00703766">
        <w:rPr>
          <w:bCs/>
          <w:color w:val="000000"/>
          <w:kern w:val="1"/>
        </w:rPr>
        <w:t xml:space="preserve"> de acuerdo a las condiciones de la solicitud de cotización.</w:t>
      </w:r>
    </w:p>
    <w:p w:rsidR="009622A7" w:rsidRPr="00D01BAF" w:rsidRDefault="009622A7" w:rsidP="009622A7">
      <w:pPr>
        <w:numPr>
          <w:ilvl w:val="0"/>
          <w:numId w:val="10"/>
        </w:numPr>
        <w:suppressAutoHyphens/>
        <w:spacing w:before="113" w:after="113" w:line="200" w:lineRule="atLeast"/>
        <w:ind w:left="0" w:firstLine="0"/>
        <w:rPr>
          <w:bCs/>
          <w:color w:val="000000"/>
          <w:kern w:val="1"/>
        </w:rPr>
      </w:pPr>
      <w:r w:rsidRPr="00D01BAF">
        <w:rPr>
          <w:b/>
          <w:bCs/>
          <w:color w:val="000000"/>
          <w:kern w:val="1"/>
        </w:rPr>
        <w:t xml:space="preserve">Formulario de Declaración de Origen de la Empresa (Anexo 1) </w:t>
      </w:r>
      <w:r w:rsidRPr="00D01BAF">
        <w:rPr>
          <w:bCs/>
          <w:color w:val="000000"/>
          <w:kern w:val="1"/>
        </w:rPr>
        <w:t xml:space="preserve">completo y firmado por un representante legal de la empresa. El origen de la empresa deberá ser de uno de los países miembros del Banco de acuerdo al siguiente detalle: </w:t>
      </w:r>
    </w:p>
    <w:p w:rsidR="009622A7" w:rsidRDefault="009622A7" w:rsidP="009622A7">
      <w:pPr>
        <w:spacing w:before="113" w:after="113" w:line="200" w:lineRule="atLeast"/>
        <w:ind w:left="0"/>
        <w:rPr>
          <w:bCs/>
          <w:color w:val="000000"/>
          <w:kern w:val="1"/>
        </w:rPr>
      </w:pPr>
      <w:r>
        <w:rPr>
          <w:bCs/>
          <w:color w:val="000000"/>
          <w:kern w:val="1"/>
        </w:rPr>
        <w:t>A continuación se detalla la Lista de Países Miembros del Banco Interamericano de Desarrollo: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020"/>
        <w:gridCol w:w="2180"/>
        <w:gridCol w:w="2789"/>
        <w:gridCol w:w="2789"/>
      </w:tblGrid>
      <w:tr w:rsidR="009622A7" w:rsidRPr="00A543B3" w:rsidTr="004073C8">
        <w:tc>
          <w:tcPr>
            <w:tcW w:w="1033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Alemania</w:t>
            </w:r>
          </w:p>
        </w:tc>
        <w:tc>
          <w:tcPr>
            <w:tcW w:w="1115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Croacia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Haití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Perú</w:t>
            </w:r>
          </w:p>
        </w:tc>
      </w:tr>
      <w:tr w:rsidR="009622A7" w:rsidRPr="00A543B3" w:rsidTr="004073C8">
        <w:tc>
          <w:tcPr>
            <w:tcW w:w="1033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Argentina</w:t>
            </w:r>
          </w:p>
        </w:tc>
        <w:tc>
          <w:tcPr>
            <w:tcW w:w="1115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Chile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Honduras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Portugal</w:t>
            </w:r>
          </w:p>
        </w:tc>
      </w:tr>
      <w:tr w:rsidR="009622A7" w:rsidRPr="00A543B3" w:rsidTr="004073C8">
        <w:tc>
          <w:tcPr>
            <w:tcW w:w="1033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Austria</w:t>
            </w:r>
          </w:p>
        </w:tc>
        <w:tc>
          <w:tcPr>
            <w:tcW w:w="1115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Dinamarca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Israel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Reino Unido</w:t>
            </w:r>
          </w:p>
        </w:tc>
      </w:tr>
      <w:tr w:rsidR="009622A7" w:rsidRPr="00A543B3" w:rsidTr="004073C8">
        <w:tc>
          <w:tcPr>
            <w:tcW w:w="1033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Bahamas</w:t>
            </w:r>
          </w:p>
        </w:tc>
        <w:tc>
          <w:tcPr>
            <w:tcW w:w="1115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Ecuador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Italia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República Dominicana</w:t>
            </w:r>
          </w:p>
        </w:tc>
      </w:tr>
      <w:tr w:rsidR="009622A7" w:rsidRPr="00A543B3" w:rsidTr="004073C8">
        <w:tc>
          <w:tcPr>
            <w:tcW w:w="1033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Barbados</w:t>
            </w:r>
          </w:p>
        </w:tc>
        <w:tc>
          <w:tcPr>
            <w:tcW w:w="1115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El Salvador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Jamaica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Suecia</w:t>
            </w:r>
          </w:p>
        </w:tc>
      </w:tr>
      <w:tr w:rsidR="009622A7" w:rsidRPr="00A543B3" w:rsidTr="004073C8">
        <w:tc>
          <w:tcPr>
            <w:tcW w:w="1033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Bélgica</w:t>
            </w:r>
          </w:p>
        </w:tc>
        <w:tc>
          <w:tcPr>
            <w:tcW w:w="1115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Eslovenia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Japón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Suiza</w:t>
            </w:r>
          </w:p>
        </w:tc>
      </w:tr>
      <w:tr w:rsidR="009622A7" w:rsidRPr="00A543B3" w:rsidTr="004073C8">
        <w:tc>
          <w:tcPr>
            <w:tcW w:w="1033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Belice</w:t>
            </w:r>
          </w:p>
        </w:tc>
        <w:tc>
          <w:tcPr>
            <w:tcW w:w="1115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España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México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543B3">
              <w:rPr>
                <w:rFonts w:asciiTheme="minorHAnsi" w:hAnsiTheme="minorHAnsi"/>
                <w:sz w:val="20"/>
                <w:szCs w:val="20"/>
              </w:rPr>
              <w:t>Suriname</w:t>
            </w:r>
            <w:proofErr w:type="spellEnd"/>
          </w:p>
        </w:tc>
      </w:tr>
      <w:tr w:rsidR="009622A7" w:rsidRPr="00A543B3" w:rsidTr="004073C8">
        <w:tc>
          <w:tcPr>
            <w:tcW w:w="1033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Bolivia</w:t>
            </w:r>
          </w:p>
        </w:tc>
        <w:tc>
          <w:tcPr>
            <w:tcW w:w="1115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Estados Unidos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Nicaragua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Trinidad &amp;Tobago</w:t>
            </w:r>
          </w:p>
        </w:tc>
      </w:tr>
      <w:tr w:rsidR="009622A7" w:rsidRPr="00A543B3" w:rsidTr="004073C8">
        <w:tc>
          <w:tcPr>
            <w:tcW w:w="1033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Brasil</w:t>
            </w:r>
          </w:p>
        </w:tc>
        <w:tc>
          <w:tcPr>
            <w:tcW w:w="1115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Finlandia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Noruega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Uruguay</w:t>
            </w:r>
          </w:p>
        </w:tc>
      </w:tr>
      <w:tr w:rsidR="009622A7" w:rsidRPr="00A543B3" w:rsidTr="004073C8">
        <w:tc>
          <w:tcPr>
            <w:tcW w:w="1033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Canadá</w:t>
            </w:r>
          </w:p>
        </w:tc>
        <w:tc>
          <w:tcPr>
            <w:tcW w:w="1115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Francia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Países Bajos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Venezuela</w:t>
            </w:r>
          </w:p>
        </w:tc>
      </w:tr>
      <w:tr w:rsidR="009622A7" w:rsidRPr="00A543B3" w:rsidTr="004073C8">
        <w:tc>
          <w:tcPr>
            <w:tcW w:w="1033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Colombia</w:t>
            </w:r>
          </w:p>
        </w:tc>
        <w:tc>
          <w:tcPr>
            <w:tcW w:w="1115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Guatemala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Panamá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República Corea</w:t>
            </w:r>
          </w:p>
        </w:tc>
      </w:tr>
      <w:tr w:rsidR="009622A7" w:rsidRPr="00A543B3" w:rsidTr="004073C8">
        <w:tc>
          <w:tcPr>
            <w:tcW w:w="1033" w:type="pct"/>
            <w:shd w:val="clear" w:color="auto" w:fill="FFFFFF"/>
          </w:tcPr>
          <w:p w:rsidR="009622A7" w:rsidRPr="00A543B3" w:rsidRDefault="009622A7" w:rsidP="004073C8">
            <w:pPr>
              <w:tabs>
                <w:tab w:val="center" w:pos="4252"/>
                <w:tab w:val="right" w:pos="8504"/>
              </w:tabs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Costa Rica</w:t>
            </w:r>
          </w:p>
        </w:tc>
        <w:tc>
          <w:tcPr>
            <w:tcW w:w="1115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Guyana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Paraguay</w:t>
            </w:r>
          </w:p>
        </w:tc>
        <w:tc>
          <w:tcPr>
            <w:tcW w:w="1426" w:type="pct"/>
            <w:shd w:val="clear" w:color="auto" w:fill="FFFFFF"/>
          </w:tcPr>
          <w:p w:rsidR="009622A7" w:rsidRPr="00A543B3" w:rsidRDefault="009622A7" w:rsidP="004073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543B3">
              <w:rPr>
                <w:rFonts w:asciiTheme="minorHAnsi" w:hAnsiTheme="minorHAnsi"/>
                <w:sz w:val="20"/>
                <w:szCs w:val="20"/>
              </w:rPr>
              <w:t>Rep. Popular de China</w:t>
            </w:r>
          </w:p>
        </w:tc>
      </w:tr>
    </w:tbl>
    <w:p w:rsidR="009622A7" w:rsidRPr="00E022D4" w:rsidRDefault="009622A7" w:rsidP="009622A7">
      <w:pPr>
        <w:spacing w:line="100" w:lineRule="atLeast"/>
        <w:ind w:left="0"/>
        <w:rPr>
          <w:bCs/>
          <w:color w:val="000000"/>
          <w:kern w:val="1"/>
          <w:sz w:val="20"/>
          <w:szCs w:val="20"/>
        </w:rPr>
      </w:pPr>
      <w:r w:rsidRPr="00E022D4">
        <w:rPr>
          <w:bCs/>
          <w:color w:val="000000"/>
          <w:kern w:val="1"/>
          <w:sz w:val="20"/>
          <w:szCs w:val="20"/>
          <w:u w:val="single"/>
        </w:rPr>
        <w:t>Territorios y Dependencias Elegibles.</w:t>
      </w:r>
    </w:p>
    <w:p w:rsidR="009622A7" w:rsidRPr="00E022D4" w:rsidRDefault="009622A7" w:rsidP="009622A7">
      <w:pPr>
        <w:spacing w:line="100" w:lineRule="atLeast"/>
        <w:ind w:left="0"/>
        <w:rPr>
          <w:bCs/>
          <w:color w:val="000000"/>
          <w:kern w:val="1"/>
          <w:sz w:val="20"/>
          <w:szCs w:val="20"/>
        </w:rPr>
      </w:pPr>
      <w:r w:rsidRPr="00E022D4">
        <w:rPr>
          <w:bCs/>
          <w:color w:val="000000"/>
          <w:kern w:val="1"/>
          <w:sz w:val="20"/>
          <w:szCs w:val="20"/>
        </w:rPr>
        <w:t xml:space="preserve">- Antillas Holandesas  (Aruba, Curasao, </w:t>
      </w:r>
      <w:proofErr w:type="spellStart"/>
      <w:r w:rsidRPr="00E022D4">
        <w:rPr>
          <w:bCs/>
          <w:color w:val="000000"/>
          <w:kern w:val="1"/>
          <w:sz w:val="20"/>
          <w:szCs w:val="20"/>
        </w:rPr>
        <w:t>Bonaire</w:t>
      </w:r>
      <w:proofErr w:type="spellEnd"/>
      <w:r w:rsidRPr="00E022D4">
        <w:rPr>
          <w:bCs/>
          <w:color w:val="000000"/>
          <w:kern w:val="1"/>
          <w:sz w:val="20"/>
          <w:szCs w:val="20"/>
        </w:rPr>
        <w:t xml:space="preserve">, St. Maarten, </w:t>
      </w:r>
      <w:proofErr w:type="spellStart"/>
      <w:r w:rsidRPr="00E022D4">
        <w:rPr>
          <w:bCs/>
          <w:color w:val="000000"/>
          <w:kern w:val="1"/>
          <w:sz w:val="20"/>
          <w:szCs w:val="20"/>
        </w:rPr>
        <w:t>Saba</w:t>
      </w:r>
      <w:proofErr w:type="spellEnd"/>
      <w:r w:rsidRPr="00E022D4">
        <w:rPr>
          <w:bCs/>
          <w:color w:val="000000"/>
          <w:kern w:val="1"/>
          <w:sz w:val="20"/>
          <w:szCs w:val="20"/>
        </w:rPr>
        <w:t xml:space="preserve"> y St. </w:t>
      </w:r>
      <w:proofErr w:type="spellStart"/>
      <w:r w:rsidRPr="00E022D4">
        <w:rPr>
          <w:bCs/>
          <w:color w:val="000000"/>
          <w:kern w:val="1"/>
          <w:sz w:val="20"/>
          <w:szCs w:val="20"/>
        </w:rPr>
        <w:t>Eustatius</w:t>
      </w:r>
      <w:proofErr w:type="spellEnd"/>
      <w:r w:rsidRPr="00E022D4">
        <w:rPr>
          <w:bCs/>
          <w:color w:val="000000"/>
          <w:kern w:val="1"/>
          <w:sz w:val="20"/>
          <w:szCs w:val="20"/>
        </w:rPr>
        <w:t>) – participan como Departamentos de Países Bajos.</w:t>
      </w:r>
    </w:p>
    <w:p w:rsidR="009622A7" w:rsidRPr="00E022D4" w:rsidRDefault="009622A7" w:rsidP="009622A7">
      <w:pPr>
        <w:spacing w:line="100" w:lineRule="atLeast"/>
        <w:ind w:left="0"/>
        <w:rPr>
          <w:bCs/>
          <w:color w:val="000000"/>
          <w:kern w:val="1"/>
          <w:sz w:val="20"/>
          <w:szCs w:val="20"/>
        </w:rPr>
      </w:pPr>
      <w:r w:rsidRPr="00E022D4">
        <w:rPr>
          <w:bCs/>
          <w:color w:val="000000"/>
          <w:kern w:val="1"/>
          <w:sz w:val="20"/>
          <w:szCs w:val="20"/>
        </w:rPr>
        <w:t>- Guadalupe, Guyana Francesa, Martinica y Reunión – participan como Departamentos de Francia.</w:t>
      </w:r>
    </w:p>
    <w:p w:rsidR="009622A7" w:rsidRPr="00E022D4" w:rsidRDefault="009622A7" w:rsidP="009622A7">
      <w:pPr>
        <w:spacing w:line="100" w:lineRule="atLeast"/>
        <w:ind w:left="0"/>
        <w:rPr>
          <w:bCs/>
          <w:i/>
          <w:iCs/>
          <w:color w:val="000000"/>
          <w:kern w:val="1"/>
          <w:sz w:val="20"/>
          <w:szCs w:val="20"/>
        </w:rPr>
      </w:pPr>
      <w:r w:rsidRPr="00E022D4">
        <w:rPr>
          <w:bCs/>
          <w:color w:val="000000"/>
          <w:kern w:val="1"/>
          <w:sz w:val="20"/>
          <w:szCs w:val="20"/>
        </w:rPr>
        <w:lastRenderedPageBreak/>
        <w:t>- Guam, Puerto Rico y las Islas Vírgenes de los Estados Unidos participan como jurisdicciones de los Estados Unidos de América.</w:t>
      </w:r>
    </w:p>
    <w:p w:rsidR="009622A7" w:rsidRPr="00E022D4" w:rsidRDefault="009622A7" w:rsidP="009622A7">
      <w:pPr>
        <w:spacing w:line="100" w:lineRule="atLeast"/>
        <w:ind w:left="0"/>
        <w:rPr>
          <w:b/>
          <w:bCs/>
          <w:color w:val="000000"/>
          <w:kern w:val="1"/>
          <w:sz w:val="20"/>
          <w:szCs w:val="20"/>
        </w:rPr>
      </w:pPr>
      <w:r w:rsidRPr="00E022D4">
        <w:rPr>
          <w:bCs/>
          <w:i/>
          <w:iCs/>
          <w:color w:val="000000"/>
          <w:kern w:val="1"/>
          <w:sz w:val="20"/>
          <w:szCs w:val="20"/>
        </w:rPr>
        <w:t>NOTA:   Debe consultarse al Banco con relación a la elegibilidad de las otras repúblicas sucesoras de la ex República Socialista de Yugoslavia para llevar a cabo adquisiciones como motivo de préstamos del Banco.</w:t>
      </w:r>
    </w:p>
    <w:p w:rsidR="009622A7" w:rsidRPr="00703766" w:rsidRDefault="009622A7" w:rsidP="009622A7">
      <w:pPr>
        <w:numPr>
          <w:ilvl w:val="0"/>
          <w:numId w:val="10"/>
        </w:numPr>
        <w:suppressAutoHyphens/>
        <w:spacing w:before="120" w:after="120" w:line="240" w:lineRule="auto"/>
        <w:ind w:left="0" w:firstLine="0"/>
        <w:rPr>
          <w:bCs/>
          <w:color w:val="000000"/>
          <w:kern w:val="1"/>
        </w:rPr>
      </w:pPr>
      <w:r w:rsidRPr="00703766">
        <w:rPr>
          <w:b/>
          <w:bCs/>
          <w:color w:val="000000"/>
          <w:kern w:val="1"/>
        </w:rPr>
        <w:t>Formulario de Declaración de Mantenimiento de Oferta (Anexo 2)</w:t>
      </w:r>
      <w:r w:rsidRPr="00703766">
        <w:rPr>
          <w:bCs/>
          <w:color w:val="000000"/>
          <w:kern w:val="1"/>
        </w:rPr>
        <w:t xml:space="preserve"> completo y firmado por un representante legal de la empresa. </w:t>
      </w:r>
    </w:p>
    <w:p w:rsidR="009622A7" w:rsidRDefault="009622A7" w:rsidP="009622A7">
      <w:pPr>
        <w:spacing w:before="113" w:after="113" w:line="200" w:lineRule="atLeast"/>
        <w:ind w:left="0"/>
        <w:rPr>
          <w:bCs/>
          <w:color w:val="000000"/>
          <w:kern w:val="1"/>
        </w:rPr>
      </w:pPr>
      <w:r>
        <w:rPr>
          <w:bCs/>
          <w:color w:val="000000"/>
          <w:kern w:val="1"/>
        </w:rPr>
        <w:t>A efectos de la presentación de ofertas, el oferente</w:t>
      </w:r>
      <w:r>
        <w:rPr>
          <w:b/>
          <w:bCs/>
          <w:color w:val="000000"/>
          <w:kern w:val="1"/>
        </w:rPr>
        <w:t xml:space="preserve"> deberá estar registrado en el Registro Único de Proveedores del Estado (RUPE)</w:t>
      </w:r>
      <w:r>
        <w:rPr>
          <w:bCs/>
          <w:color w:val="000000"/>
          <w:kern w:val="1"/>
        </w:rPr>
        <w:t>, conforme a lo dispuesto por el Decreto del Poder Ejecutivo N° 155/013 de 21 de mayo de 2013. Los estados admitidos para aceptar ofertas de proveedores son: EN INGRESO, EN INGRESO (SIIF) y ACTIVO.</w:t>
      </w:r>
    </w:p>
    <w:p w:rsidR="009622A7" w:rsidRDefault="009622A7" w:rsidP="009622A7">
      <w:pPr>
        <w:spacing w:before="113" w:after="113" w:line="200" w:lineRule="atLeast"/>
        <w:ind w:left="0"/>
        <w:rPr>
          <w:bCs/>
          <w:color w:val="000000"/>
          <w:kern w:val="1"/>
        </w:rPr>
      </w:pPr>
      <w:r>
        <w:rPr>
          <w:bCs/>
          <w:color w:val="000000"/>
          <w:kern w:val="1"/>
        </w:rPr>
        <w:t>A efectos de la adjudicación, el oferente que resulte seleccionado, deberá haber adquirido el estado de “ACTIVO” en el RUPE, tal como surge de la Guía para Proveedores del RUPE, a la cual podrá accederse en www.comprasestatales.gub.uy bajo el menú Proveedores/RUPE/Manuales y videos.</w:t>
      </w:r>
    </w:p>
    <w:p w:rsidR="009622A7" w:rsidRDefault="009622A7" w:rsidP="009622A7">
      <w:pPr>
        <w:spacing w:before="113" w:after="113" w:line="200" w:lineRule="atLeast"/>
        <w:ind w:left="0"/>
        <w:rPr>
          <w:b/>
          <w:bCs/>
          <w:u w:val="single"/>
        </w:rPr>
      </w:pPr>
      <w:r>
        <w:rPr>
          <w:bCs/>
          <w:color w:val="000000"/>
          <w:kern w:val="1"/>
        </w:rPr>
        <w:t>Si al momento de la adjudicación, el proveedor que resulte adjudicatario no hubiese adquirido el estado de "ACTIVO" en RUPE, se le otorgará un plazo de 2 días hábiles contados a partir del día siguiente a la notificación de la adjudicación, a fin de que el mismo adquiera dicho estado, bajo apercibimiento de adjudicar este llamado al siguiente mejor oferente en caso de no cumplirse este requerimiento en el plazo mencionado.</w:t>
      </w:r>
    </w:p>
    <w:p w:rsidR="009622A7" w:rsidRPr="00E022D4" w:rsidRDefault="009622A7" w:rsidP="009622A7">
      <w:pPr>
        <w:shd w:val="clear" w:color="auto" w:fill="FFFFFF"/>
        <w:spacing w:before="113" w:after="113" w:line="200" w:lineRule="atLeast"/>
        <w:ind w:left="0"/>
        <w:rPr>
          <w:b/>
          <w:bCs/>
          <w:u w:val="single"/>
        </w:rPr>
      </w:pPr>
      <w:r>
        <w:rPr>
          <w:b/>
          <w:bCs/>
          <w:u w:val="single"/>
        </w:rPr>
        <w:t>LUGAR Y FECHA DE RECEPCIÓN DE OFERTAS</w:t>
      </w:r>
    </w:p>
    <w:p w:rsidR="009622A7" w:rsidRDefault="009622A7" w:rsidP="009622A7">
      <w:pPr>
        <w:spacing w:before="113" w:after="113" w:line="200" w:lineRule="atLeast"/>
        <w:ind w:left="0"/>
        <w:rPr>
          <w:bCs/>
          <w:color w:val="000000"/>
          <w:kern w:val="1"/>
        </w:rPr>
      </w:pPr>
      <w:r>
        <w:rPr>
          <w:bCs/>
          <w:color w:val="000000"/>
          <w:kern w:val="1"/>
        </w:rPr>
        <w:t xml:space="preserve">Todas las ofertas deberán presentarse en forma impresa, personalmente en la Secretaría Nacional de Cuidados, Área de Administración, San José 1414, en el horario de 11 a 17 horas </w:t>
      </w:r>
      <w:r w:rsidRPr="00B517DC">
        <w:rPr>
          <w:bCs/>
          <w:color w:val="000000"/>
          <w:kern w:val="1"/>
        </w:rPr>
        <w:t>o a través del sitio web de la Agencia de Compras y Contrataciones del Estado.</w:t>
      </w:r>
      <w:r>
        <w:rPr>
          <w:bCs/>
          <w:color w:val="000000"/>
          <w:kern w:val="1"/>
        </w:rPr>
        <w:t xml:space="preserve"> Serán recibidas hasta </w:t>
      </w:r>
      <w:r w:rsidRPr="000854BA">
        <w:rPr>
          <w:b/>
          <w:bCs/>
          <w:color w:val="000000"/>
          <w:kern w:val="1"/>
        </w:rPr>
        <w:t xml:space="preserve">el </w:t>
      </w:r>
      <w:r w:rsidR="004073C8" w:rsidRPr="000854BA">
        <w:rPr>
          <w:b/>
          <w:bCs/>
          <w:color w:val="000000"/>
          <w:kern w:val="1"/>
        </w:rPr>
        <w:t>26</w:t>
      </w:r>
      <w:r w:rsidRPr="000854BA">
        <w:rPr>
          <w:b/>
          <w:bCs/>
          <w:color w:val="000000"/>
          <w:kern w:val="1"/>
        </w:rPr>
        <w:t xml:space="preserve"> de </w:t>
      </w:r>
      <w:r w:rsidR="004073C8" w:rsidRPr="000854BA">
        <w:rPr>
          <w:b/>
          <w:bCs/>
          <w:color w:val="000000"/>
          <w:kern w:val="1"/>
        </w:rPr>
        <w:t>agosto</w:t>
      </w:r>
      <w:r w:rsidRPr="000854BA">
        <w:rPr>
          <w:b/>
          <w:bCs/>
          <w:color w:val="000000"/>
          <w:kern w:val="1"/>
        </w:rPr>
        <w:t xml:space="preserve"> de 2019, 15 hs. </w:t>
      </w:r>
      <w:r>
        <w:rPr>
          <w:bCs/>
          <w:color w:val="000000"/>
          <w:kern w:val="1"/>
        </w:rPr>
        <w:t>Serán devueltas sin abrir aquellas ofertas que sean presentadas fuera de este plazo.</w:t>
      </w:r>
    </w:p>
    <w:p w:rsidR="009622A7" w:rsidRPr="00E022D4" w:rsidRDefault="009622A7" w:rsidP="009622A7">
      <w:pPr>
        <w:shd w:val="clear" w:color="auto" w:fill="FFFFFF"/>
        <w:spacing w:before="113" w:after="113" w:line="200" w:lineRule="atLeast"/>
        <w:ind w:left="0"/>
        <w:rPr>
          <w:b/>
          <w:bCs/>
          <w:u w:val="single"/>
        </w:rPr>
      </w:pPr>
      <w:r>
        <w:rPr>
          <w:b/>
          <w:bCs/>
          <w:u w:val="single"/>
        </w:rPr>
        <w:t>CONSULTAS Y ACLARACIONES</w:t>
      </w:r>
    </w:p>
    <w:p w:rsidR="009622A7" w:rsidRDefault="009622A7" w:rsidP="009622A7">
      <w:pPr>
        <w:spacing w:before="113" w:after="113" w:line="200" w:lineRule="atLeast"/>
        <w:ind w:left="0"/>
        <w:rPr>
          <w:bCs/>
          <w:color w:val="000000"/>
          <w:kern w:val="1"/>
        </w:rPr>
      </w:pPr>
      <w:r>
        <w:rPr>
          <w:bCs/>
          <w:color w:val="000000"/>
          <w:kern w:val="1"/>
        </w:rPr>
        <w:t>Las empresas interesadas podrán solicitar aclaraciones o consultas específicas mediante comunicación escrita dirigida a:</w:t>
      </w:r>
      <w:r>
        <w:rPr>
          <w:b/>
          <w:bCs/>
          <w:color w:val="000000"/>
          <w:kern w:val="1"/>
        </w:rPr>
        <w:t xml:space="preserve"> sncgestion@mides.gub.uy</w:t>
      </w:r>
    </w:p>
    <w:p w:rsidR="009622A7" w:rsidRDefault="009622A7" w:rsidP="009622A7">
      <w:pPr>
        <w:spacing w:before="113" w:after="113" w:line="200" w:lineRule="atLeast"/>
        <w:ind w:left="0"/>
        <w:rPr>
          <w:b/>
          <w:bCs/>
          <w:u w:val="single"/>
        </w:rPr>
      </w:pPr>
      <w:r>
        <w:rPr>
          <w:bCs/>
          <w:color w:val="000000"/>
          <w:kern w:val="1"/>
        </w:rPr>
        <w:t>Asimismo, el contratante podrá solicitar aclaraciones a los oferentes respecto de las propuestas  presentadas. Mediante la solicitud de aclaraciones o su respuesta, ambas por escrito, no podrán alterarse las presentes bases, ni la esencia de la presentación ni violar el principio de igualdad entre los oferentes.</w:t>
      </w:r>
    </w:p>
    <w:p w:rsidR="009622A7" w:rsidRPr="00E022D4" w:rsidRDefault="009622A7" w:rsidP="009622A7">
      <w:pPr>
        <w:shd w:val="clear" w:color="auto" w:fill="FFFFFF"/>
        <w:spacing w:before="113" w:after="113" w:line="200" w:lineRule="atLeast"/>
        <w:ind w:left="0"/>
        <w:rPr>
          <w:b/>
          <w:bCs/>
          <w:u w:val="single"/>
        </w:rPr>
      </w:pPr>
      <w:r>
        <w:rPr>
          <w:b/>
          <w:bCs/>
          <w:u w:val="single"/>
        </w:rPr>
        <w:t>EVALUACION DE OFERTAS Y ADJUDICACION</w:t>
      </w:r>
    </w:p>
    <w:p w:rsidR="009622A7" w:rsidRPr="007032D1" w:rsidRDefault="009622A7" w:rsidP="009622A7">
      <w:pPr>
        <w:shd w:val="clear" w:color="auto" w:fill="FFFFFF"/>
        <w:spacing w:before="113" w:after="113" w:line="200" w:lineRule="atLeast"/>
        <w:ind w:left="0"/>
        <w:rPr>
          <w:bCs/>
          <w:color w:val="000000"/>
          <w:kern w:val="1"/>
        </w:rPr>
      </w:pPr>
      <w:r w:rsidRPr="007032D1">
        <w:rPr>
          <w:bCs/>
          <w:color w:val="000000"/>
          <w:kern w:val="1"/>
        </w:rPr>
        <w:t xml:space="preserve">El proceso de selección se realizará mediante comparación de ofertas adjudicándose aquella que obtenga el mayor puntaje de acuerdo a lo estipulado en Criterios de Comparación. La moneda de comparación de las mismas será en </w:t>
      </w:r>
      <w:r w:rsidRPr="007032D1">
        <w:rPr>
          <w:b/>
          <w:bCs/>
          <w:color w:val="000000"/>
          <w:kern w:val="1"/>
        </w:rPr>
        <w:t>PESOS URUGUAYOS</w:t>
      </w:r>
      <w:r w:rsidRPr="007032D1">
        <w:rPr>
          <w:bCs/>
          <w:color w:val="000000"/>
          <w:kern w:val="1"/>
        </w:rPr>
        <w:t>.</w:t>
      </w:r>
    </w:p>
    <w:p w:rsidR="009622A7" w:rsidRPr="00E022D4" w:rsidRDefault="009622A7" w:rsidP="009622A7">
      <w:pPr>
        <w:shd w:val="clear" w:color="auto" w:fill="FFFFFF"/>
        <w:spacing w:before="113" w:after="113" w:line="200" w:lineRule="atLeast"/>
        <w:ind w:left="0"/>
        <w:rPr>
          <w:b/>
          <w:bCs/>
          <w:u w:val="single"/>
        </w:rPr>
      </w:pPr>
      <w:r>
        <w:rPr>
          <w:b/>
          <w:bCs/>
          <w:u w:val="single"/>
        </w:rPr>
        <w:t>CONDICIONES DE PAGO</w:t>
      </w:r>
    </w:p>
    <w:p w:rsidR="009622A7" w:rsidRPr="007032D1" w:rsidRDefault="009622A7" w:rsidP="009622A7">
      <w:pPr>
        <w:spacing w:before="113" w:after="113" w:line="200" w:lineRule="atLeast"/>
        <w:ind w:left="0"/>
        <w:rPr>
          <w:bCs/>
          <w:color w:val="000000"/>
          <w:kern w:val="1"/>
        </w:rPr>
      </w:pPr>
      <w:r w:rsidRPr="007032D1">
        <w:rPr>
          <w:bCs/>
          <w:color w:val="000000"/>
          <w:kern w:val="1"/>
        </w:rPr>
        <w:t xml:space="preserve">El pago del servicio se realizará aproximadamente a los 20 días de entregada cada factura a través del SIIF, contra entrega y aprobación de cada uno de los cuatro eventos públicos </w:t>
      </w:r>
      <w:r>
        <w:rPr>
          <w:bCs/>
          <w:color w:val="000000"/>
          <w:kern w:val="1"/>
        </w:rPr>
        <w:t>realizados</w:t>
      </w:r>
      <w:r w:rsidRPr="007032D1">
        <w:rPr>
          <w:bCs/>
          <w:color w:val="000000"/>
          <w:kern w:val="1"/>
        </w:rPr>
        <w:t>.</w:t>
      </w:r>
    </w:p>
    <w:p w:rsidR="009622A7" w:rsidRDefault="009622A7" w:rsidP="009622A7">
      <w:pPr>
        <w:tabs>
          <w:tab w:val="left" w:pos="492"/>
          <w:tab w:val="center" w:pos="4746"/>
        </w:tabs>
        <w:spacing w:before="57" w:after="113" w:line="200" w:lineRule="atLeast"/>
        <w:ind w:left="0"/>
        <w:rPr>
          <w:b/>
          <w:bCs/>
        </w:rPr>
      </w:pPr>
      <w:r>
        <w:t xml:space="preserve">El proveedor entregará las facturas correspondientes emitidas a nombre de: </w:t>
      </w:r>
      <w:r>
        <w:rPr>
          <w:b/>
          <w:bCs/>
        </w:rPr>
        <w:t xml:space="preserve">PROGRAMA DE APOYO AL SISTEMA NACIONAL INTEGRADO DE CUIDADOS PRESTAMO BID 3607 OC-UR. </w:t>
      </w:r>
    </w:p>
    <w:p w:rsidR="009622A7" w:rsidRPr="00C9203E" w:rsidRDefault="009622A7" w:rsidP="009622A7">
      <w:pPr>
        <w:tabs>
          <w:tab w:val="left" w:pos="492"/>
          <w:tab w:val="center" w:pos="4746"/>
        </w:tabs>
        <w:spacing w:before="57" w:after="113" w:line="200" w:lineRule="atLeast"/>
        <w:ind w:left="0"/>
        <w:rPr>
          <w:b/>
          <w:bCs/>
        </w:rPr>
      </w:pPr>
    </w:p>
    <w:p w:rsidR="009622A7" w:rsidRDefault="009622A7" w:rsidP="009622A7">
      <w:pPr>
        <w:pageBreakBefore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lastRenderedPageBreak/>
        <w:t>ANEXO 1</w:t>
      </w:r>
    </w:p>
    <w:p w:rsidR="009622A7" w:rsidRDefault="009622A7" w:rsidP="009622A7">
      <w:pPr>
        <w:spacing w:line="360" w:lineRule="auto"/>
        <w:jc w:val="center"/>
      </w:pPr>
      <w:r>
        <w:rPr>
          <w:b/>
          <w:bCs/>
        </w:rPr>
        <w:t>Formulario de Declaración de Origen de la Empresa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Nombre del Oferente _______________________________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ab/>
      </w:r>
      <w:r>
        <w:tab/>
      </w:r>
      <w:r>
        <w:tab/>
      </w:r>
    </w:p>
    <w:p w:rsidR="009622A7" w:rsidRDefault="009622A7" w:rsidP="009622A7">
      <w:pPr>
        <w:spacing w:line="360" w:lineRule="auto"/>
        <w:ind w:left="0"/>
      </w:pPr>
      <w:r>
        <w:t>POR CUANTO (nombre del Oferente) declaramos que la nacionalidad de la empresa es (país).</w:t>
      </w:r>
    </w:p>
    <w:p w:rsidR="009622A7" w:rsidRDefault="009622A7" w:rsidP="009622A7">
      <w:pPr>
        <w:spacing w:line="360" w:lineRule="auto"/>
        <w:ind w:left="0"/>
      </w:pPr>
    </w:p>
    <w:p w:rsidR="009622A7" w:rsidRDefault="009622A7" w:rsidP="009622A7">
      <w:pPr>
        <w:spacing w:line="360" w:lineRule="auto"/>
        <w:ind w:left="0"/>
      </w:pPr>
      <w:r>
        <w:t>Debidamente autorizado para firmar en nombre de (nombre del Oferente) extendemos la presente Declaración.</w:t>
      </w:r>
    </w:p>
    <w:p w:rsidR="009622A7" w:rsidRDefault="009622A7" w:rsidP="009622A7">
      <w:pPr>
        <w:spacing w:line="360" w:lineRule="auto"/>
        <w:ind w:left="0"/>
      </w:pPr>
    </w:p>
    <w:p w:rsidR="009622A7" w:rsidRDefault="009622A7" w:rsidP="009622A7">
      <w:pPr>
        <w:spacing w:line="360" w:lineRule="auto"/>
        <w:ind w:left="0"/>
      </w:pPr>
    </w:p>
    <w:p w:rsidR="009622A7" w:rsidRDefault="009622A7" w:rsidP="009622A7">
      <w:pPr>
        <w:spacing w:line="360" w:lineRule="auto"/>
        <w:ind w:left="0"/>
      </w:pPr>
      <w:r>
        <w:t>_______________________________________</w:t>
      </w:r>
      <w:r>
        <w:tab/>
        <w:t>_____________________</w:t>
      </w:r>
    </w:p>
    <w:p w:rsidR="009622A7" w:rsidRDefault="009622A7" w:rsidP="009622A7">
      <w:pPr>
        <w:tabs>
          <w:tab w:val="left" w:pos="360"/>
          <w:tab w:val="left" w:pos="720"/>
          <w:tab w:val="left" w:pos="1320"/>
          <w:tab w:val="left" w:pos="1800"/>
          <w:tab w:val="left" w:pos="2280"/>
          <w:tab w:val="center" w:pos="4612"/>
          <w:tab w:val="right" w:pos="8864"/>
        </w:tabs>
        <w:spacing w:line="360" w:lineRule="auto"/>
        <w:ind w:left="0"/>
        <w:rPr>
          <w:b/>
          <w:bCs/>
        </w:rPr>
      </w:pPr>
      <w:r>
        <w:t xml:space="preserve">            (Firma y Aclaración de firma – Cargo)                               Fecha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</w:p>
    <w:p w:rsidR="009622A7" w:rsidRDefault="009622A7" w:rsidP="009622A7">
      <w:pPr>
        <w:pageBreakBefore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ANEXO 2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jc w:val="center"/>
      </w:pPr>
      <w:r>
        <w:rPr>
          <w:b/>
          <w:bCs/>
        </w:rPr>
        <w:t>Declaración de Mantenimiento de la Oferta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[El Oferente completará este Formulario de la Declaración de Mantenimiento de la Oferta de acuerdo con las instrucciones indicadas.]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Fecha: [indicar la fecha (día, mes y año) de presentación de la oferta]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 xml:space="preserve">Comparación de Precios N° </w:t>
      </w:r>
      <w:r w:rsidR="00895445">
        <w:t>12/2</w:t>
      </w:r>
      <w:r>
        <w:t>019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A: [indicar el nombre completo del Comprador]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Nosotros, los suscritos, declaramos que: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1.        Entendemos   que,  de  acuerdo   con  sus  condiciones,   las  ofertas   deberán   estar respaldadas por una Declaración de Mantenimiento de la Oferta.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2.        Aceptamos que automáticamente seremos declarados inelegibles para participar en cualquier licitación de contrato con el Comprador por un período de dos años contado a partir de la fecha de apertura si violamos nuestra(s) obligación(es) bajo las condiciones de la oferta si: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 xml:space="preserve">(a) </w:t>
      </w:r>
      <w:r>
        <w:tab/>
        <w:t>retiráramos   nuestra   Oferta  durante   el  período   de  vigencia   de  la  oferta especificado por nosotros en el Formulario de Oferta; o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 xml:space="preserve">(b) </w:t>
      </w:r>
      <w:r>
        <w:tab/>
        <w:t>Si después de haber sido notificados de la aceptación de nuestra Oferta durante el período de validez de la misma, (i) no firmamos o rehusamos a firmar el Convenio, si es requerido.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  <w:r>
        <w:t>3.        Entendemos que esta Declaración de Mantenimiento de la Oferta expirará si no somos los seleccionados, y cuando ocurra el primero  de los siguientes hechos: (i) si recibimos una copia de su comunicación con el nombre del Oferente seleccionado; o (</w:t>
      </w:r>
      <w:proofErr w:type="spellStart"/>
      <w:r>
        <w:t>ii</w:t>
      </w:r>
      <w:proofErr w:type="spellEnd"/>
      <w:r>
        <w:t>) han transcurrido 60 días después de la expiración de nuestra Oferta.</w:t>
      </w: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</w:pPr>
    </w:p>
    <w:p w:rsidR="009622A7" w:rsidRDefault="009622A7" w:rsidP="009622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center" w:pos="425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504"/>
          <w:tab w:val="left" w:pos="8640"/>
          <w:tab w:val="left" w:pos="9360"/>
        </w:tabs>
        <w:spacing w:line="360" w:lineRule="auto"/>
        <w:ind w:left="0"/>
        <w:rPr>
          <w:rFonts w:eastAsia="MS Mincho"/>
        </w:rPr>
      </w:pPr>
      <w:r>
        <w:t>Firma:</w:t>
      </w:r>
    </w:p>
    <w:p w:rsidR="009622A7" w:rsidRDefault="009622A7" w:rsidP="009622A7">
      <w:pPr>
        <w:tabs>
          <w:tab w:val="left" w:pos="492"/>
          <w:tab w:val="center" w:pos="4746"/>
        </w:tabs>
        <w:spacing w:line="360" w:lineRule="auto"/>
        <w:ind w:left="0"/>
      </w:pPr>
    </w:p>
    <w:p w:rsidR="00D21AD7" w:rsidRDefault="00D21AD7" w:rsidP="00D21AD7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sectPr w:rsidR="00D21AD7" w:rsidSect="00DC6E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87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3C8" w:rsidRDefault="004073C8" w:rsidP="00735A67">
      <w:pPr>
        <w:spacing w:line="240" w:lineRule="auto"/>
      </w:pPr>
      <w:r>
        <w:separator/>
      </w:r>
    </w:p>
  </w:endnote>
  <w:endnote w:type="continuationSeparator" w:id="1">
    <w:p w:rsidR="004073C8" w:rsidRDefault="004073C8" w:rsidP="0073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C8" w:rsidRDefault="004073C8" w:rsidP="001B3EB8">
    <w:pPr>
      <w:spacing w:line="240" w:lineRule="auto"/>
      <w:ind w:left="0"/>
      <w:jc w:val="left"/>
    </w:pPr>
    <w:r>
      <w:t xml:space="preserve">     </w:t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60960</wp:posOffset>
          </wp:positionV>
          <wp:extent cx="2095500" cy="574040"/>
          <wp:effectExtent l="19050" t="0" r="0" b="0"/>
          <wp:wrapNone/>
          <wp:docPr id="3" name="Imagen 3" descr="mides+ejecutivo_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des+ejecutivo_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Look w:val="04A0"/>
    </w:tblPr>
    <w:tblGrid>
      <w:gridCol w:w="3094"/>
      <w:gridCol w:w="3555"/>
      <w:gridCol w:w="3159"/>
    </w:tblGrid>
    <w:tr w:rsidR="004073C8" w:rsidRPr="002C2E63" w:rsidTr="00DC6E38">
      <w:trPr>
        <w:trHeight w:hRule="exact" w:val="744"/>
      </w:trPr>
      <w:tc>
        <w:tcPr>
          <w:tcW w:w="3094" w:type="dxa"/>
        </w:tcPr>
        <w:p w:rsidR="004073C8" w:rsidRPr="006B2A5D" w:rsidRDefault="004073C8" w:rsidP="00260953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555" w:type="dxa"/>
        </w:tcPr>
        <w:p w:rsidR="004073C8" w:rsidRDefault="004073C8" w:rsidP="00260953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159" w:type="dxa"/>
          <w:vAlign w:val="center"/>
        </w:tcPr>
        <w:p w:rsidR="004073C8" w:rsidRPr="003273FA" w:rsidRDefault="004073C8" w:rsidP="00260953">
          <w:pPr>
            <w:spacing w:line="220" w:lineRule="exact"/>
            <w:ind w:left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073C8" w:rsidRPr="00F81B9F" w:rsidRDefault="004073C8" w:rsidP="001B3EB8">
    <w:pPr>
      <w:spacing w:line="240" w:lineRule="auto"/>
      <w:ind w:left="0"/>
      <w:jc w:val="lef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C8" w:rsidRDefault="004073C8" w:rsidP="00F03E3C">
    <w:pPr>
      <w:spacing w:line="240" w:lineRule="auto"/>
      <w:ind w:left="0"/>
      <w:jc w:val="left"/>
    </w:pPr>
    <w:r>
      <w:t xml:space="preserve">     </w: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60960</wp:posOffset>
          </wp:positionV>
          <wp:extent cx="2095500" cy="574040"/>
          <wp:effectExtent l="19050" t="0" r="0" b="0"/>
          <wp:wrapNone/>
          <wp:docPr id="5" name="Imagen 5" descr="mides+ejecutivo_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des+ejecutivo_L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Look w:val="04A0"/>
    </w:tblPr>
    <w:tblGrid>
      <w:gridCol w:w="3085"/>
      <w:gridCol w:w="3544"/>
      <w:gridCol w:w="3149"/>
    </w:tblGrid>
    <w:tr w:rsidR="004073C8" w:rsidRPr="002C2E63">
      <w:trPr>
        <w:trHeight w:hRule="exact" w:val="744"/>
      </w:trPr>
      <w:tc>
        <w:tcPr>
          <w:tcW w:w="3085" w:type="dxa"/>
        </w:tcPr>
        <w:p w:rsidR="004073C8" w:rsidRPr="002C2E63" w:rsidRDefault="004073C8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San José 1414</w:t>
          </w:r>
        </w:p>
        <w:p w:rsidR="004073C8" w:rsidRPr="002C2E63" w:rsidRDefault="004073C8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</w:rPr>
          </w:pPr>
          <w:r w:rsidRPr="002C2E63">
            <w:rPr>
              <w:rFonts w:ascii="Arial" w:hAnsi="Arial" w:cs="Arial"/>
              <w:sz w:val="16"/>
              <w:szCs w:val="16"/>
            </w:rPr>
            <w:t>C.P. 11200 Montevideo, Uruguay</w:t>
          </w:r>
        </w:p>
        <w:p w:rsidR="004073C8" w:rsidRPr="00AA7A40" w:rsidRDefault="004073C8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3544" w:type="dxa"/>
        </w:tcPr>
        <w:p w:rsidR="004073C8" w:rsidRPr="002C2E63" w:rsidRDefault="004073C8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  <w:r w:rsidRPr="002C2E63">
            <w:rPr>
              <w:rFonts w:ascii="Arial" w:hAnsi="Arial" w:cs="Arial"/>
              <w:sz w:val="16"/>
              <w:szCs w:val="16"/>
              <w:lang w:val="en-US"/>
            </w:rPr>
            <w:t>Tel.: (598 2)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2 400 03 02</w:t>
          </w:r>
        </w:p>
        <w:p w:rsidR="004073C8" w:rsidRDefault="004073C8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www.sistemadecuidados.gub.uy</w:t>
          </w:r>
        </w:p>
        <w:p w:rsidR="004073C8" w:rsidRDefault="004073C8" w:rsidP="00671785">
          <w:pPr>
            <w:spacing w:line="220" w:lineRule="exact"/>
            <w:ind w:left="0"/>
            <w:jc w:val="left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149" w:type="dxa"/>
          <w:vAlign w:val="center"/>
        </w:tcPr>
        <w:p w:rsidR="004073C8" w:rsidRPr="003273FA" w:rsidRDefault="004073C8" w:rsidP="00671785">
          <w:pPr>
            <w:spacing w:line="220" w:lineRule="exact"/>
            <w:ind w:left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073C8" w:rsidRPr="00F81B9F" w:rsidRDefault="004073C8" w:rsidP="00F03E3C">
    <w:pPr>
      <w:spacing w:line="240" w:lineRule="auto"/>
      <w:ind w:left="0"/>
      <w:jc w:val="left"/>
      <w:rPr>
        <w:lang w:val="en-US"/>
      </w:rPr>
    </w:pPr>
  </w:p>
  <w:p w:rsidR="004073C8" w:rsidRDefault="004073C8" w:rsidP="00CD33CA">
    <w:pPr>
      <w:pStyle w:val="Piedepgina"/>
      <w:ind w:left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3C8" w:rsidRDefault="004073C8" w:rsidP="00735A67">
      <w:pPr>
        <w:spacing w:line="240" w:lineRule="auto"/>
      </w:pPr>
      <w:r>
        <w:separator/>
      </w:r>
    </w:p>
  </w:footnote>
  <w:footnote w:type="continuationSeparator" w:id="1">
    <w:p w:rsidR="004073C8" w:rsidRDefault="004073C8" w:rsidP="00735A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C8" w:rsidRDefault="004073C8" w:rsidP="00CD33CA">
    <w:pPr>
      <w:pStyle w:val="Encabezado"/>
      <w:ind w:left="0"/>
      <w:jc w:val="left"/>
    </w:pPr>
  </w:p>
  <w:p w:rsidR="004073C8" w:rsidRDefault="004073C8" w:rsidP="00CD33CA">
    <w:pPr>
      <w:pStyle w:val="Encabezado"/>
      <w:ind w:left="0"/>
      <w:jc w:val="left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451485</wp:posOffset>
          </wp:positionH>
          <wp:positionV relativeFrom="paragraph">
            <wp:posOffset>124460</wp:posOffset>
          </wp:positionV>
          <wp:extent cx="1962150" cy="742950"/>
          <wp:effectExtent l="19050" t="0" r="0" b="0"/>
          <wp:wrapTopAndBottom/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73C8" w:rsidRDefault="004073C8" w:rsidP="00CD33CA">
    <w:pPr>
      <w:pStyle w:val="Encabezado"/>
      <w:ind w:left="0"/>
      <w:jc w:val="left"/>
    </w:pPr>
  </w:p>
  <w:p w:rsidR="004073C8" w:rsidRDefault="004073C8" w:rsidP="00CD33CA">
    <w:pPr>
      <w:pStyle w:val="Encabezado"/>
      <w:ind w:left="0"/>
      <w:jc w:val="left"/>
    </w:pPr>
    <w:r>
      <w:tab/>
    </w:r>
  </w:p>
  <w:p w:rsidR="004073C8" w:rsidRDefault="004073C8" w:rsidP="00CD33CA">
    <w:pPr>
      <w:pStyle w:val="Encabezado"/>
      <w:ind w:left="0"/>
      <w:jc w:val="left"/>
    </w:pPr>
  </w:p>
  <w:p w:rsidR="004073C8" w:rsidRDefault="004073C8" w:rsidP="00CD33CA">
    <w:pPr>
      <w:pStyle w:val="Encabezado"/>
      <w:ind w:left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C8" w:rsidRDefault="004073C8" w:rsidP="00F7507A">
    <w:pPr>
      <w:pStyle w:val="Encabezado"/>
      <w:ind w:left="0"/>
      <w:jc w:val="left"/>
    </w:pPr>
  </w:p>
  <w:p w:rsidR="004073C8" w:rsidRDefault="004073C8" w:rsidP="00F7507A">
    <w:pPr>
      <w:pStyle w:val="Encabezado"/>
      <w:ind w:left="0"/>
      <w:jc w:val="left"/>
    </w:pPr>
  </w:p>
  <w:p w:rsidR="004073C8" w:rsidRDefault="004073C8" w:rsidP="00F7507A">
    <w:pPr>
      <w:pStyle w:val="Encabezado"/>
      <w:ind w:left="0"/>
      <w:jc w:val="left"/>
    </w:pPr>
  </w:p>
  <w:p w:rsidR="004073C8" w:rsidRDefault="004073C8" w:rsidP="00F7507A">
    <w:pPr>
      <w:pStyle w:val="Encabezado"/>
      <w:ind w:left="0"/>
      <w:jc w:val="left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297815</wp:posOffset>
          </wp:positionH>
          <wp:positionV relativeFrom="paragraph">
            <wp:posOffset>26670</wp:posOffset>
          </wp:positionV>
          <wp:extent cx="1962150" cy="742950"/>
          <wp:effectExtent l="19050" t="0" r="0" b="0"/>
          <wp:wrapTopAndBottom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73C8" w:rsidRDefault="004073C8" w:rsidP="00F7507A">
    <w:pPr>
      <w:pStyle w:val="Encabezado"/>
      <w:ind w:left="0"/>
      <w:jc w:val="left"/>
    </w:pPr>
  </w:p>
  <w:p w:rsidR="004073C8" w:rsidRDefault="004073C8" w:rsidP="00F7507A">
    <w:pPr>
      <w:pStyle w:val="Encabezado"/>
      <w:ind w:left="0"/>
      <w:jc w:val="left"/>
    </w:pPr>
  </w:p>
  <w:p w:rsidR="004073C8" w:rsidRDefault="004073C8" w:rsidP="00F7507A">
    <w:pPr>
      <w:pStyle w:val="Encabezado"/>
      <w:ind w:left="0"/>
      <w:jc w:val="left"/>
    </w:pPr>
  </w:p>
  <w:p w:rsidR="004073C8" w:rsidRDefault="004073C8" w:rsidP="00F7507A">
    <w:pPr>
      <w:pStyle w:val="Encabezado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3">
    <w:nsid w:val="00000005"/>
    <w:multiLevelType w:val="multilevel"/>
    <w:tmpl w:val="00000005"/>
    <w:name w:val="WWNum8"/>
    <w:lvl w:ilvl="0">
      <w:start w:val="1"/>
      <w:numFmt w:val="bullet"/>
      <w:lvlText w:val=""/>
      <w:lvlJc w:val="left"/>
      <w:pPr>
        <w:tabs>
          <w:tab w:val="num" w:pos="0"/>
        </w:tabs>
        <w:ind w:left="146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8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8"/>
        </w:tabs>
        <w:ind w:left="11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8"/>
        </w:tabs>
        <w:ind w:left="14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8"/>
        </w:tabs>
        <w:ind w:left="21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8"/>
        </w:tabs>
        <w:ind w:left="25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8"/>
        </w:tabs>
        <w:ind w:left="32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8"/>
        </w:tabs>
        <w:ind w:left="3628" w:hanging="360"/>
      </w:pPr>
      <w:rPr>
        <w:rFonts w:ascii="OpenSymbol" w:hAnsi="OpenSymbol" w:cs="OpenSymbol"/>
      </w:rPr>
    </w:lvl>
  </w:abstractNum>
  <w:abstractNum w:abstractNumId="6">
    <w:nsid w:val="00000008"/>
    <w:multiLevelType w:val="singleLevel"/>
    <w:tmpl w:val="00000008"/>
    <w:name w:val="WW8Num20"/>
    <w:lvl w:ilvl="0">
      <w:numFmt w:val="bullet"/>
      <w:lvlText w:val="-"/>
      <w:lvlJc w:val="left"/>
      <w:pPr>
        <w:tabs>
          <w:tab w:val="num" w:pos="0"/>
        </w:tabs>
        <w:ind w:left="1065" w:hanging="705"/>
      </w:pPr>
      <w:rPr>
        <w:rFonts w:ascii="Calibri" w:hAnsi="Calibri" w:cs="Calibri" w:hint="default"/>
      </w:rPr>
    </w:lvl>
  </w:abstractNum>
  <w:abstractNum w:abstractNumId="7">
    <w:nsid w:val="0D30213C"/>
    <w:multiLevelType w:val="multilevel"/>
    <w:tmpl w:val="4484D3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10F95D49"/>
    <w:multiLevelType w:val="multilevel"/>
    <w:tmpl w:val="025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7368A"/>
    <w:multiLevelType w:val="hybridMultilevel"/>
    <w:tmpl w:val="BC50C966"/>
    <w:lvl w:ilvl="0" w:tplc="181A1902">
      <w:numFmt w:val="bullet"/>
      <w:lvlText w:val="-"/>
      <w:lvlJc w:val="left"/>
      <w:pPr>
        <w:ind w:left="921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30765B3A"/>
    <w:multiLevelType w:val="hybridMultilevel"/>
    <w:tmpl w:val="F1AAA39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97586"/>
    <w:multiLevelType w:val="hybridMultilevel"/>
    <w:tmpl w:val="488E03BA"/>
    <w:lvl w:ilvl="0" w:tplc="91948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E45E4"/>
    <w:multiLevelType w:val="hybridMultilevel"/>
    <w:tmpl w:val="F788D320"/>
    <w:lvl w:ilvl="0" w:tplc="380A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3">
    <w:nsid w:val="42B27BC4"/>
    <w:multiLevelType w:val="multilevel"/>
    <w:tmpl w:val="AA8C6EEC"/>
    <w:lvl w:ilvl="0">
      <w:start w:val="1"/>
      <w:numFmt w:val="bullet"/>
      <w:lvlText w:val="●"/>
      <w:lvlJc w:val="left"/>
      <w:pPr>
        <w:ind w:left="14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0405F81"/>
    <w:multiLevelType w:val="multilevel"/>
    <w:tmpl w:val="553E9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16E2F87"/>
    <w:multiLevelType w:val="multilevel"/>
    <w:tmpl w:val="37481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E2443F3"/>
    <w:multiLevelType w:val="multilevel"/>
    <w:tmpl w:val="555C3602"/>
    <w:lvl w:ilvl="0">
      <w:start w:val="1"/>
      <w:numFmt w:val="decimal"/>
      <w:lvlText w:val="%1."/>
      <w:lvlJc w:val="left"/>
      <w:pPr>
        <w:ind w:left="390" w:hanging="360"/>
      </w:pPr>
      <w:rPr>
        <w:rFonts w:eastAsia="Calibr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50" w:hanging="1800"/>
      </w:pPr>
      <w:rPr>
        <w:rFonts w:hint="default"/>
      </w:rPr>
    </w:lvl>
  </w:abstractNum>
  <w:abstractNum w:abstractNumId="17">
    <w:nsid w:val="6DAF1703"/>
    <w:multiLevelType w:val="multilevel"/>
    <w:tmpl w:val="EE3ADEC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72476C1E"/>
    <w:multiLevelType w:val="hybridMultilevel"/>
    <w:tmpl w:val="F36C2BE6"/>
    <w:lvl w:ilvl="0" w:tplc="0C0A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9">
    <w:nsid w:val="73461F23"/>
    <w:multiLevelType w:val="multilevel"/>
    <w:tmpl w:val="5EEC1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9"/>
  </w:num>
  <w:num w:numId="5">
    <w:abstractNumId w:val="7"/>
  </w:num>
  <w:num w:numId="6">
    <w:abstractNumId w:val="15"/>
  </w:num>
  <w:num w:numId="7">
    <w:abstractNumId w:val="14"/>
  </w:num>
  <w:num w:numId="8">
    <w:abstractNumId w:val="1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6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2689"/>
  </w:hdrShapeDefaults>
  <w:footnotePr>
    <w:footnote w:id="0"/>
    <w:footnote w:id="1"/>
  </w:footnotePr>
  <w:endnotePr>
    <w:endnote w:id="0"/>
    <w:endnote w:id="1"/>
  </w:endnotePr>
  <w:compat/>
  <w:rsids>
    <w:rsidRoot w:val="00BC3994"/>
    <w:rsid w:val="00001EEF"/>
    <w:rsid w:val="00002AFD"/>
    <w:rsid w:val="00003A32"/>
    <w:rsid w:val="00003D1D"/>
    <w:rsid w:val="00007999"/>
    <w:rsid w:val="00013601"/>
    <w:rsid w:val="00020A4A"/>
    <w:rsid w:val="0002272C"/>
    <w:rsid w:val="0003221C"/>
    <w:rsid w:val="00032DBC"/>
    <w:rsid w:val="0004170A"/>
    <w:rsid w:val="00052EB3"/>
    <w:rsid w:val="00063BC9"/>
    <w:rsid w:val="00067358"/>
    <w:rsid w:val="000728C3"/>
    <w:rsid w:val="00076C87"/>
    <w:rsid w:val="0008334E"/>
    <w:rsid w:val="000854BA"/>
    <w:rsid w:val="0008717C"/>
    <w:rsid w:val="000911F5"/>
    <w:rsid w:val="000A491A"/>
    <w:rsid w:val="000F088F"/>
    <w:rsid w:val="000F55F3"/>
    <w:rsid w:val="001319FD"/>
    <w:rsid w:val="001472FB"/>
    <w:rsid w:val="001564F0"/>
    <w:rsid w:val="00157861"/>
    <w:rsid w:val="001578FD"/>
    <w:rsid w:val="00181B57"/>
    <w:rsid w:val="001846BF"/>
    <w:rsid w:val="00184805"/>
    <w:rsid w:val="0018711F"/>
    <w:rsid w:val="001A566F"/>
    <w:rsid w:val="001A56E2"/>
    <w:rsid w:val="001A7272"/>
    <w:rsid w:val="001B0ACD"/>
    <w:rsid w:val="001B3EB8"/>
    <w:rsid w:val="001B4E92"/>
    <w:rsid w:val="001C4772"/>
    <w:rsid w:val="001D091D"/>
    <w:rsid w:val="001D1696"/>
    <w:rsid w:val="001D1C83"/>
    <w:rsid w:val="001E085E"/>
    <w:rsid w:val="001E22A6"/>
    <w:rsid w:val="001F2976"/>
    <w:rsid w:val="0021325F"/>
    <w:rsid w:val="002278CB"/>
    <w:rsid w:val="002361E4"/>
    <w:rsid w:val="0023632B"/>
    <w:rsid w:val="002422A4"/>
    <w:rsid w:val="00246B28"/>
    <w:rsid w:val="00247EBD"/>
    <w:rsid w:val="00260953"/>
    <w:rsid w:val="00263A20"/>
    <w:rsid w:val="002654A4"/>
    <w:rsid w:val="00276B9B"/>
    <w:rsid w:val="002A66DB"/>
    <w:rsid w:val="002C269D"/>
    <w:rsid w:val="002C2E63"/>
    <w:rsid w:val="002C7638"/>
    <w:rsid w:val="002D2855"/>
    <w:rsid w:val="002E0C4F"/>
    <w:rsid w:val="002E438B"/>
    <w:rsid w:val="00302DD6"/>
    <w:rsid w:val="003108D1"/>
    <w:rsid w:val="00326758"/>
    <w:rsid w:val="00326BBB"/>
    <w:rsid w:val="003273FA"/>
    <w:rsid w:val="00352947"/>
    <w:rsid w:val="00360B2B"/>
    <w:rsid w:val="00376114"/>
    <w:rsid w:val="00386433"/>
    <w:rsid w:val="00394D7E"/>
    <w:rsid w:val="003A31C4"/>
    <w:rsid w:val="003B16B7"/>
    <w:rsid w:val="003B45CA"/>
    <w:rsid w:val="003C76DE"/>
    <w:rsid w:val="003E0235"/>
    <w:rsid w:val="003E2380"/>
    <w:rsid w:val="003E7C60"/>
    <w:rsid w:val="00401CBF"/>
    <w:rsid w:val="0040738F"/>
    <w:rsid w:val="004073C8"/>
    <w:rsid w:val="004162C9"/>
    <w:rsid w:val="00421C70"/>
    <w:rsid w:val="00441857"/>
    <w:rsid w:val="004419EB"/>
    <w:rsid w:val="00450781"/>
    <w:rsid w:val="004550C1"/>
    <w:rsid w:val="004675CD"/>
    <w:rsid w:val="00471944"/>
    <w:rsid w:val="0049323C"/>
    <w:rsid w:val="00496D73"/>
    <w:rsid w:val="004C16B8"/>
    <w:rsid w:val="004C1909"/>
    <w:rsid w:val="004D14AE"/>
    <w:rsid w:val="004E75C2"/>
    <w:rsid w:val="004F48D0"/>
    <w:rsid w:val="005023EF"/>
    <w:rsid w:val="00524160"/>
    <w:rsid w:val="00531F2D"/>
    <w:rsid w:val="00540370"/>
    <w:rsid w:val="0054526B"/>
    <w:rsid w:val="00555B6E"/>
    <w:rsid w:val="00557CA3"/>
    <w:rsid w:val="005620DA"/>
    <w:rsid w:val="00567617"/>
    <w:rsid w:val="0057169B"/>
    <w:rsid w:val="005748A4"/>
    <w:rsid w:val="0058505C"/>
    <w:rsid w:val="005B0DFF"/>
    <w:rsid w:val="005C6F7C"/>
    <w:rsid w:val="005E155D"/>
    <w:rsid w:val="005E1DB6"/>
    <w:rsid w:val="005E78FB"/>
    <w:rsid w:val="005F59CE"/>
    <w:rsid w:val="006035F2"/>
    <w:rsid w:val="00610B7F"/>
    <w:rsid w:val="00617189"/>
    <w:rsid w:val="00622D3B"/>
    <w:rsid w:val="00642264"/>
    <w:rsid w:val="006426E4"/>
    <w:rsid w:val="00652649"/>
    <w:rsid w:val="00657AC3"/>
    <w:rsid w:val="00666A0C"/>
    <w:rsid w:val="00671785"/>
    <w:rsid w:val="006754C8"/>
    <w:rsid w:val="00677E64"/>
    <w:rsid w:val="006855DE"/>
    <w:rsid w:val="00697C48"/>
    <w:rsid w:val="006A013C"/>
    <w:rsid w:val="006A25E4"/>
    <w:rsid w:val="006B2A5D"/>
    <w:rsid w:val="006B6FD7"/>
    <w:rsid w:val="006C367C"/>
    <w:rsid w:val="006C590E"/>
    <w:rsid w:val="006E1828"/>
    <w:rsid w:val="0070772B"/>
    <w:rsid w:val="007145FE"/>
    <w:rsid w:val="007204EF"/>
    <w:rsid w:val="00735A67"/>
    <w:rsid w:val="0074131D"/>
    <w:rsid w:val="007506CD"/>
    <w:rsid w:val="00763F6F"/>
    <w:rsid w:val="00765E39"/>
    <w:rsid w:val="007C1062"/>
    <w:rsid w:val="007C4BF6"/>
    <w:rsid w:val="007C5CA8"/>
    <w:rsid w:val="007D0A3D"/>
    <w:rsid w:val="007D4431"/>
    <w:rsid w:val="007E7937"/>
    <w:rsid w:val="007F0564"/>
    <w:rsid w:val="007F21FE"/>
    <w:rsid w:val="00802AC2"/>
    <w:rsid w:val="00802DA2"/>
    <w:rsid w:val="008101AB"/>
    <w:rsid w:val="0081153D"/>
    <w:rsid w:val="00812C66"/>
    <w:rsid w:val="00812E96"/>
    <w:rsid w:val="00814506"/>
    <w:rsid w:val="00815479"/>
    <w:rsid w:val="008178D0"/>
    <w:rsid w:val="00837DA8"/>
    <w:rsid w:val="00860603"/>
    <w:rsid w:val="00861B20"/>
    <w:rsid w:val="00881FA3"/>
    <w:rsid w:val="00885251"/>
    <w:rsid w:val="0088648E"/>
    <w:rsid w:val="00895445"/>
    <w:rsid w:val="008A2FF5"/>
    <w:rsid w:val="008A34AE"/>
    <w:rsid w:val="008A460B"/>
    <w:rsid w:val="008C2761"/>
    <w:rsid w:val="008C7AB9"/>
    <w:rsid w:val="008F3A4D"/>
    <w:rsid w:val="0090475B"/>
    <w:rsid w:val="009050CD"/>
    <w:rsid w:val="00922B59"/>
    <w:rsid w:val="009300C3"/>
    <w:rsid w:val="00932329"/>
    <w:rsid w:val="00936119"/>
    <w:rsid w:val="00946C00"/>
    <w:rsid w:val="00961259"/>
    <w:rsid w:val="009617C5"/>
    <w:rsid w:val="009622A7"/>
    <w:rsid w:val="009707BB"/>
    <w:rsid w:val="00971FF1"/>
    <w:rsid w:val="00976B23"/>
    <w:rsid w:val="009804F6"/>
    <w:rsid w:val="00982BAB"/>
    <w:rsid w:val="00991BB9"/>
    <w:rsid w:val="009935AA"/>
    <w:rsid w:val="009A5F95"/>
    <w:rsid w:val="009B02C9"/>
    <w:rsid w:val="009B402C"/>
    <w:rsid w:val="009B45BA"/>
    <w:rsid w:val="009E381E"/>
    <w:rsid w:val="009E7E59"/>
    <w:rsid w:val="00A162DB"/>
    <w:rsid w:val="00A16E9F"/>
    <w:rsid w:val="00A253E2"/>
    <w:rsid w:val="00A30952"/>
    <w:rsid w:val="00A32FA6"/>
    <w:rsid w:val="00A36C80"/>
    <w:rsid w:val="00A45379"/>
    <w:rsid w:val="00A50D60"/>
    <w:rsid w:val="00A657B6"/>
    <w:rsid w:val="00A657F9"/>
    <w:rsid w:val="00A65B7A"/>
    <w:rsid w:val="00A75528"/>
    <w:rsid w:val="00A84B7E"/>
    <w:rsid w:val="00AA096A"/>
    <w:rsid w:val="00AA2AE0"/>
    <w:rsid w:val="00AA35CD"/>
    <w:rsid w:val="00AA7A40"/>
    <w:rsid w:val="00AC5AE6"/>
    <w:rsid w:val="00AC6F7B"/>
    <w:rsid w:val="00AD4DB5"/>
    <w:rsid w:val="00AE5B08"/>
    <w:rsid w:val="00AF04BD"/>
    <w:rsid w:val="00B276C6"/>
    <w:rsid w:val="00B52456"/>
    <w:rsid w:val="00B60696"/>
    <w:rsid w:val="00B62102"/>
    <w:rsid w:val="00B66558"/>
    <w:rsid w:val="00B73252"/>
    <w:rsid w:val="00B73C67"/>
    <w:rsid w:val="00B851DA"/>
    <w:rsid w:val="00B8630A"/>
    <w:rsid w:val="00BA68E6"/>
    <w:rsid w:val="00BB4886"/>
    <w:rsid w:val="00BC0915"/>
    <w:rsid w:val="00BC3994"/>
    <w:rsid w:val="00BC4766"/>
    <w:rsid w:val="00BC57C5"/>
    <w:rsid w:val="00BC71F6"/>
    <w:rsid w:val="00BD1A1F"/>
    <w:rsid w:val="00BD3525"/>
    <w:rsid w:val="00BE696E"/>
    <w:rsid w:val="00BE6E3A"/>
    <w:rsid w:val="00BF5A0E"/>
    <w:rsid w:val="00C017F7"/>
    <w:rsid w:val="00C04FED"/>
    <w:rsid w:val="00C129C9"/>
    <w:rsid w:val="00C14EB2"/>
    <w:rsid w:val="00C23B6F"/>
    <w:rsid w:val="00C267B6"/>
    <w:rsid w:val="00C3618C"/>
    <w:rsid w:val="00C40D45"/>
    <w:rsid w:val="00C44D08"/>
    <w:rsid w:val="00C5727C"/>
    <w:rsid w:val="00C57C5F"/>
    <w:rsid w:val="00C60C1A"/>
    <w:rsid w:val="00C75369"/>
    <w:rsid w:val="00C767B8"/>
    <w:rsid w:val="00CA3929"/>
    <w:rsid w:val="00CA4DAF"/>
    <w:rsid w:val="00CA5D40"/>
    <w:rsid w:val="00CB326E"/>
    <w:rsid w:val="00CB46FF"/>
    <w:rsid w:val="00CC399D"/>
    <w:rsid w:val="00CD2DB7"/>
    <w:rsid w:val="00CD33CA"/>
    <w:rsid w:val="00CD39FD"/>
    <w:rsid w:val="00CD3EC9"/>
    <w:rsid w:val="00CD7185"/>
    <w:rsid w:val="00CE7262"/>
    <w:rsid w:val="00CF1804"/>
    <w:rsid w:val="00CF6CD1"/>
    <w:rsid w:val="00D00685"/>
    <w:rsid w:val="00D03736"/>
    <w:rsid w:val="00D14831"/>
    <w:rsid w:val="00D15AD0"/>
    <w:rsid w:val="00D17208"/>
    <w:rsid w:val="00D21AD7"/>
    <w:rsid w:val="00D2601D"/>
    <w:rsid w:val="00D34063"/>
    <w:rsid w:val="00D3438E"/>
    <w:rsid w:val="00D523E7"/>
    <w:rsid w:val="00D573D8"/>
    <w:rsid w:val="00D82FC0"/>
    <w:rsid w:val="00D92615"/>
    <w:rsid w:val="00D94650"/>
    <w:rsid w:val="00D976D5"/>
    <w:rsid w:val="00DB0576"/>
    <w:rsid w:val="00DB3764"/>
    <w:rsid w:val="00DB4B37"/>
    <w:rsid w:val="00DB528B"/>
    <w:rsid w:val="00DC2F75"/>
    <w:rsid w:val="00DC6909"/>
    <w:rsid w:val="00DC6E38"/>
    <w:rsid w:val="00DC7815"/>
    <w:rsid w:val="00DD4520"/>
    <w:rsid w:val="00DE754D"/>
    <w:rsid w:val="00DF25F9"/>
    <w:rsid w:val="00DF7C34"/>
    <w:rsid w:val="00E06F9A"/>
    <w:rsid w:val="00E1284D"/>
    <w:rsid w:val="00E1437B"/>
    <w:rsid w:val="00E16D0F"/>
    <w:rsid w:val="00E26A85"/>
    <w:rsid w:val="00E4151C"/>
    <w:rsid w:val="00E4387A"/>
    <w:rsid w:val="00E52E4B"/>
    <w:rsid w:val="00E52EAD"/>
    <w:rsid w:val="00E67DB7"/>
    <w:rsid w:val="00E72F44"/>
    <w:rsid w:val="00E75F73"/>
    <w:rsid w:val="00E84A3F"/>
    <w:rsid w:val="00E875A2"/>
    <w:rsid w:val="00E963AD"/>
    <w:rsid w:val="00E97437"/>
    <w:rsid w:val="00EA1673"/>
    <w:rsid w:val="00EB74E7"/>
    <w:rsid w:val="00EE1DD6"/>
    <w:rsid w:val="00EF2904"/>
    <w:rsid w:val="00F03E3C"/>
    <w:rsid w:val="00F0580F"/>
    <w:rsid w:val="00F15E65"/>
    <w:rsid w:val="00F16BB7"/>
    <w:rsid w:val="00F17CEF"/>
    <w:rsid w:val="00F2235F"/>
    <w:rsid w:val="00F3211C"/>
    <w:rsid w:val="00F33117"/>
    <w:rsid w:val="00F35412"/>
    <w:rsid w:val="00F43655"/>
    <w:rsid w:val="00F5190B"/>
    <w:rsid w:val="00F53641"/>
    <w:rsid w:val="00F6312E"/>
    <w:rsid w:val="00F631AB"/>
    <w:rsid w:val="00F7507A"/>
    <w:rsid w:val="00F80989"/>
    <w:rsid w:val="00F80DC9"/>
    <w:rsid w:val="00F81B9F"/>
    <w:rsid w:val="00F903EE"/>
    <w:rsid w:val="00F9219C"/>
    <w:rsid w:val="00F95273"/>
    <w:rsid w:val="00FC117C"/>
    <w:rsid w:val="00FC4815"/>
    <w:rsid w:val="00FD0FC2"/>
    <w:rsid w:val="00FD2731"/>
    <w:rsid w:val="00FD2B3E"/>
    <w:rsid w:val="00FE41CB"/>
    <w:rsid w:val="00FE46A8"/>
    <w:rsid w:val="00FF4D10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73"/>
    <w:pPr>
      <w:spacing w:line="300" w:lineRule="atLeast"/>
      <w:ind w:left="561"/>
      <w:jc w:val="both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A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67"/>
  </w:style>
  <w:style w:type="paragraph" w:styleId="Piedepgina">
    <w:name w:val="footer"/>
    <w:basedOn w:val="Normal"/>
    <w:link w:val="PiedepginaCar"/>
    <w:uiPriority w:val="99"/>
    <w:semiHidden/>
    <w:unhideWhenUsed/>
    <w:rsid w:val="00735A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A67"/>
  </w:style>
  <w:style w:type="paragraph" w:styleId="Textodeglobo">
    <w:name w:val="Balloon Text"/>
    <w:basedOn w:val="Normal"/>
    <w:link w:val="TextodegloboCar"/>
    <w:uiPriority w:val="99"/>
    <w:semiHidden/>
    <w:unhideWhenUsed/>
    <w:rsid w:val="00735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A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1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4B7E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A84B7E"/>
    <w:pPr>
      <w:pBdr>
        <w:top w:val="nil"/>
        <w:left w:val="nil"/>
        <w:bottom w:val="nil"/>
        <w:right w:val="nil"/>
        <w:between w:val="nil"/>
      </w:pBdr>
      <w:spacing w:line="240" w:lineRule="auto"/>
      <w:ind w:left="720"/>
      <w:contextualSpacing/>
      <w:jc w:val="left"/>
    </w:pPr>
    <w:rPr>
      <w:rFonts w:ascii="Times New Roman" w:eastAsia="Times New Roman" w:hAnsi="Times New Roman"/>
      <w:color w:val="000000"/>
      <w:sz w:val="20"/>
      <w:szCs w:val="20"/>
      <w:lang w:val="es-ES" w:eastAsia="es-UY"/>
    </w:rPr>
  </w:style>
  <w:style w:type="paragraph" w:customStyle="1" w:styleId="Prrafodelista1">
    <w:name w:val="Párrafo de lista1"/>
    <w:basedOn w:val="Normal"/>
    <w:rsid w:val="00DC6E38"/>
    <w:pPr>
      <w:suppressAutoHyphens/>
      <w:spacing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rsid w:val="00DC6E38"/>
    <w:pPr>
      <w:suppressLineNumbers/>
      <w:suppressAutoHyphens/>
      <w:spacing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es-ES" w:eastAsia="ar-SA"/>
    </w:rPr>
  </w:style>
  <w:style w:type="paragraph" w:customStyle="1" w:styleId="Normal1">
    <w:name w:val="Normal1"/>
    <w:rsid w:val="0074131D"/>
    <w:pPr>
      <w:suppressAutoHyphens/>
      <w:spacing w:line="276" w:lineRule="auto"/>
      <w:ind w:left="561"/>
      <w:jc w:val="both"/>
    </w:pPr>
    <w:rPr>
      <w:rFonts w:cs="Calibri"/>
      <w:color w:val="000000"/>
      <w:sz w:val="22"/>
      <w:lang w:eastAsia="ar-SA"/>
    </w:rPr>
  </w:style>
  <w:style w:type="paragraph" w:customStyle="1" w:styleId="ListParagraph1">
    <w:name w:val="List Paragraph1"/>
    <w:basedOn w:val="Normal"/>
    <w:rsid w:val="0074131D"/>
    <w:pPr>
      <w:widowControl w:val="0"/>
      <w:suppressAutoHyphens/>
      <w:spacing w:line="240" w:lineRule="auto"/>
      <w:ind w:left="720"/>
      <w:jc w:val="left"/>
      <w:textAlignment w:val="baseline"/>
    </w:pPr>
    <w:rPr>
      <w:rFonts w:ascii="Times New Roman" w:eastAsia="Times New Roman" w:hAnsi="Times New Roman"/>
      <w:kern w:val="1"/>
      <w:sz w:val="20"/>
      <w:szCs w:val="20"/>
      <w:lang w:val="ru-RU"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131D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131D"/>
    <w:rPr>
      <w:rFonts w:cs="Calibri"/>
      <w:lang w:val="es-UY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74131D"/>
    <w:rPr>
      <w:vertAlign w:val="superscript"/>
    </w:rPr>
  </w:style>
  <w:style w:type="paragraph" w:customStyle="1" w:styleId="Standard">
    <w:name w:val="Standard"/>
    <w:rsid w:val="00F15E65"/>
    <w:pPr>
      <w:suppressAutoHyphens/>
      <w:spacing w:line="300" w:lineRule="atLeast"/>
      <w:ind w:left="561"/>
      <w:jc w:val="both"/>
      <w:textAlignment w:val="baseline"/>
    </w:pPr>
    <w:rPr>
      <w:rFonts w:cs="Calibri"/>
      <w:kern w:val="1"/>
      <w:sz w:val="22"/>
      <w:szCs w:val="22"/>
      <w:lang w:val="es-UY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rrespondencia%20II\InfamiliaB&amp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6EFC-F080-4643-814D-B8787E69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InfamiliaB&amp;N</Template>
  <TotalTime>5</TotalTime>
  <Pages>6</Pages>
  <Words>1994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Infancia,</vt:lpstr>
    </vt:vector>
  </TitlesOfParts>
  <Company>Grizli777</Company>
  <LinksUpToDate>false</LinksUpToDate>
  <CharactersWithSpaces>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Infancia,</dc:title>
  <dc:creator>nlucas</dc:creator>
  <cp:lastModifiedBy>nlucas</cp:lastModifiedBy>
  <cp:revision>2</cp:revision>
  <cp:lastPrinted>2019-02-20T20:22:00Z</cp:lastPrinted>
  <dcterms:created xsi:type="dcterms:W3CDTF">2019-08-16T22:55:00Z</dcterms:created>
  <dcterms:modified xsi:type="dcterms:W3CDTF">2019-08-16T22:55:00Z</dcterms:modified>
</cp:coreProperties>
</file>