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14" w:rsidRDefault="00136B67">
      <w:r>
        <w:t>Montevideo, 22 de octubre, 2019</w:t>
      </w:r>
    </w:p>
    <w:p w:rsidR="00136B67" w:rsidRDefault="00136B67">
      <w:r w:rsidRPr="00136B67">
        <w:rPr>
          <w:b/>
          <w:bCs/>
          <w:u w:val="single"/>
        </w:rPr>
        <w:t>Consulta</w:t>
      </w:r>
      <w:proofErr w:type="gramStart"/>
      <w:r>
        <w:t>:  “</w:t>
      </w:r>
      <w:proofErr w:type="gramEnd"/>
      <w:r>
        <w:t>Queda claro que las herramientas son de cargo de la empresa, pero no así los materiales, en caso de reparación esos los pondría la Dirección de Comercio?”</w:t>
      </w:r>
    </w:p>
    <w:p w:rsidR="00136B67" w:rsidRDefault="00136B67">
      <w:r w:rsidRPr="00136B67">
        <w:rPr>
          <w:b/>
          <w:bCs/>
          <w:u w:val="single"/>
        </w:rPr>
        <w:t>Respuesta</w:t>
      </w:r>
      <w:r>
        <w:t>:  “</w:t>
      </w:r>
      <w:r>
        <w:t xml:space="preserve">con referencia a la consulta realizada, si bien el plazo mencionado en el </w:t>
      </w:r>
      <w:proofErr w:type="spellStart"/>
      <w:r>
        <w:t>item</w:t>
      </w:r>
      <w:proofErr w:type="spellEnd"/>
      <w:r>
        <w:t xml:space="preserve"> 3, ya fue cumplido, y se entien</w:t>
      </w:r>
      <w:r>
        <w:t>d</w:t>
      </w:r>
      <w:bookmarkStart w:id="0" w:name="_GoBack"/>
      <w:bookmarkEnd w:id="0"/>
      <w:r>
        <w:t>e que esta aclaración no beneficia a ningún proveedor, respondemos que los materiales en caso de reparación, serán proporcionados por la Dirección General de Comercio.</w:t>
      </w:r>
    </w:p>
    <w:sectPr w:rsidR="00136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67"/>
    <w:rsid w:val="00136B67"/>
    <w:rsid w:val="009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07F1"/>
  <w15:chartTrackingRefBased/>
  <w15:docId w15:val="{80355882-BFCB-4B53-81CB-54A88A38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Genta</dc:creator>
  <cp:keywords/>
  <dc:description/>
  <cp:lastModifiedBy>Magali Genta</cp:lastModifiedBy>
  <cp:revision>1</cp:revision>
  <dcterms:created xsi:type="dcterms:W3CDTF">2019-10-22T15:55:00Z</dcterms:created>
  <dcterms:modified xsi:type="dcterms:W3CDTF">2019-10-22T16:01:00Z</dcterms:modified>
</cp:coreProperties>
</file>