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F" w:rsidRPr="00086CA7" w:rsidRDefault="00A46008" w:rsidP="00CF67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</w:p>
    <w:p w:rsidR="003E747E" w:rsidRPr="00086CA7" w:rsidRDefault="003E747E" w:rsidP="006A6D08">
      <w:pPr>
        <w:jc w:val="center"/>
        <w:rPr>
          <w:rFonts w:ascii="Aquawax" w:hAnsi="Aquawax"/>
          <w:spacing w:val="2"/>
          <w:sz w:val="20"/>
          <w:szCs w:val="20"/>
        </w:rPr>
      </w:pPr>
    </w:p>
    <w:p w:rsidR="009904C4" w:rsidRDefault="009904C4" w:rsidP="006A6D08">
      <w:pPr>
        <w:rPr>
          <w:rFonts w:ascii="Aquawax" w:hAnsi="Aquawax" w:cs="Tahom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quawax" w:hAnsi="Aquawax" w:cs="Tahoma"/>
          <w:b/>
          <w:bCs/>
          <w:color w:val="000000"/>
          <w:sz w:val="32"/>
          <w:szCs w:val="32"/>
          <w:shd w:val="clear" w:color="auto" w:fill="FFFFFF"/>
        </w:rPr>
        <w:t>TERMINOS DE REFERENCIA</w:t>
      </w:r>
    </w:p>
    <w:p w:rsidR="003E747E" w:rsidRDefault="003E747E" w:rsidP="006A6D08">
      <w:pPr>
        <w:rPr>
          <w:rFonts w:ascii="Aquawax" w:hAnsi="Aquawax" w:cs="Tahoma"/>
          <w:b/>
          <w:bCs/>
          <w:color w:val="000000"/>
          <w:sz w:val="32"/>
          <w:szCs w:val="32"/>
          <w:shd w:val="clear" w:color="auto" w:fill="FFFFFF"/>
        </w:rPr>
      </w:pPr>
    </w:p>
    <w:p w:rsidR="009904C4" w:rsidRDefault="009904C4" w:rsidP="006A6D08">
      <w:pPr>
        <w:rPr>
          <w:rFonts w:ascii="Aquawax" w:hAnsi="Aquawax" w:cs="Tahom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quawax" w:hAnsi="Aquawax" w:cs="Tahoma"/>
          <w:b/>
          <w:bCs/>
          <w:color w:val="000000"/>
          <w:sz w:val="32"/>
          <w:szCs w:val="32"/>
          <w:shd w:val="clear" w:color="auto" w:fill="FFFFFF"/>
        </w:rPr>
        <w:t>Servicios de Agencia Digital para desarrollo estrategia de comunicación digital y campaña de medios digitales</w:t>
      </w:r>
    </w:p>
    <w:p w:rsid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F85567" w:rsidRPr="00474998" w:rsidRDefault="00474998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  <w:r w:rsidRPr="00474998">
        <w:rPr>
          <w:rFonts w:ascii="Aquawax" w:hAnsi="Aquawax" w:cs="Tahoma"/>
          <w:b/>
          <w:bCs/>
          <w:color w:val="000000"/>
          <w:shd w:val="clear" w:color="auto" w:fill="FFFFFF"/>
        </w:rPr>
        <w:t>Período de tiempo de contratación.</w:t>
      </w:r>
    </w:p>
    <w:p w:rsidR="00474998" w:rsidRPr="00474998" w:rsidRDefault="00474998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</w:p>
    <w:p w:rsidR="00F85567" w:rsidRDefault="00885B55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>
        <w:rPr>
          <w:rFonts w:ascii="Aquawax" w:hAnsi="Aquawax" w:cs="Tahoma"/>
          <w:bCs/>
          <w:color w:val="000000"/>
          <w:shd w:val="clear" w:color="auto" w:fill="FFFFFF"/>
        </w:rPr>
        <w:t xml:space="preserve">Cotizar la contratación  mensual de los servicios </w:t>
      </w:r>
      <w:r w:rsidR="00F85567">
        <w:rPr>
          <w:rFonts w:ascii="Aquawax" w:hAnsi="Aquawax" w:cs="Tahoma"/>
          <w:bCs/>
          <w:color w:val="000000"/>
          <w:shd w:val="clear" w:color="auto" w:fill="FFFFFF"/>
        </w:rPr>
        <w:t xml:space="preserve">por un </w:t>
      </w:r>
      <w:r w:rsidR="00F85567">
        <w:rPr>
          <w:rFonts w:ascii="Aquawax" w:hAnsi="Aquawax" w:cs="Tahoma"/>
          <w:b/>
          <w:bCs/>
          <w:color w:val="000000"/>
          <w:shd w:val="clear" w:color="auto" w:fill="FFFFFF"/>
        </w:rPr>
        <w:t>período de 90</w:t>
      </w:r>
      <w:r w:rsidR="00F85567" w:rsidRPr="00F85567">
        <w:rPr>
          <w:rFonts w:ascii="Aquawax" w:hAnsi="Aquawax" w:cs="Tahoma"/>
          <w:b/>
          <w:bCs/>
          <w:color w:val="000000"/>
          <w:shd w:val="clear" w:color="auto" w:fill="FFFFFF"/>
        </w:rPr>
        <w:t xml:space="preserve"> días</w:t>
      </w:r>
      <w:r w:rsidR="00F85567">
        <w:rPr>
          <w:rFonts w:ascii="Aquawax" w:hAnsi="Aquawax" w:cs="Tahoma"/>
          <w:bCs/>
          <w:color w:val="000000"/>
          <w:shd w:val="clear" w:color="auto" w:fill="FFFFFF"/>
        </w:rPr>
        <w:t xml:space="preserve"> a partir de la fecha</w:t>
      </w:r>
      <w:r w:rsidR="009904C4">
        <w:rPr>
          <w:rFonts w:ascii="Aquawax" w:hAnsi="Aquawax" w:cs="Tahoma"/>
          <w:bCs/>
          <w:color w:val="000000"/>
          <w:shd w:val="clear" w:color="auto" w:fill="FFFFFF"/>
        </w:rPr>
        <w:t xml:space="preserve"> de la adjudicación</w:t>
      </w:r>
      <w:r>
        <w:rPr>
          <w:rFonts w:ascii="Aquawax" w:hAnsi="Aquawax" w:cs="Tahoma"/>
          <w:bCs/>
          <w:color w:val="000000"/>
          <w:shd w:val="clear" w:color="auto" w:fill="FFFFFF"/>
        </w:rPr>
        <w:t>, estableciendo el precio total y los impuestos para un pago mensual SIIF de 30 a 45 días</w:t>
      </w:r>
    </w:p>
    <w:p w:rsid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885B55" w:rsidRDefault="00885B55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  <w:r w:rsidRPr="00885B55">
        <w:rPr>
          <w:rFonts w:ascii="Aquawax" w:hAnsi="Aquawax" w:cs="Tahoma"/>
          <w:b/>
          <w:bCs/>
          <w:color w:val="000000"/>
          <w:shd w:val="clear" w:color="auto" w:fill="FFFFFF"/>
        </w:rPr>
        <w:t>TAREAS:</w:t>
      </w:r>
    </w:p>
    <w:p w:rsidR="00885B55" w:rsidRPr="00885B55" w:rsidRDefault="00885B55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</w:p>
    <w:p w:rsidR="00115C87" w:rsidRPr="004F3593" w:rsidRDefault="00115C87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/>
          <w:bCs/>
          <w:color w:val="000000"/>
          <w:shd w:val="clear" w:color="auto" w:fill="FFFFFF"/>
        </w:rPr>
        <w:t>Definir un Plan Estratégico</w:t>
      </w:r>
    </w:p>
    <w:p w:rsidR="00115C87" w:rsidRPr="004F3593" w:rsidRDefault="00115C87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>Definir los objetivos de comunicación digital junto al equipo de comunicación de la Comisión del Patrimonio Cultural de la Nación para profesionalizar y potenciar la difusión de contenidos en diversas plataformas digitales y en especial en las redes sociales.</w:t>
      </w:r>
    </w:p>
    <w:p w:rsidR="00115C87" w:rsidRPr="004F3593" w:rsidRDefault="00115C87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115C87" w:rsidRPr="004F3593" w:rsidRDefault="00115C87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/>
          <w:bCs/>
          <w:color w:val="000000"/>
          <w:shd w:val="clear" w:color="auto" w:fill="FFFFFF"/>
        </w:rPr>
        <w:t>Manual de Contenidos Digitales</w:t>
      </w:r>
    </w:p>
    <w:p w:rsidR="00115C87" w:rsidRPr="004F3593" w:rsidRDefault="00115C87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>Definir una identidad verbal de la marca Patrimonio Uruguay, unidades temáticas, definición del público objetivo de acuerdo a las fechas más relevantes de actividades pero definiendo un estilo para seguir trabajando dentro de los mismos parámetros comunicacionales a posteriori.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>Diseño y maquetado de contenidos.</w:t>
      </w:r>
    </w:p>
    <w:p w:rsidR="00115C87" w:rsidRPr="004F3593" w:rsidRDefault="00115C87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115C87" w:rsidRDefault="00115C87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/>
          <w:bCs/>
          <w:color w:val="000000"/>
          <w:shd w:val="clear" w:color="auto" w:fill="FFFFFF"/>
        </w:rPr>
        <w:t xml:space="preserve">Asesoramiento </w:t>
      </w:r>
      <w:r w:rsidRPr="004F3593">
        <w:rPr>
          <w:rFonts w:ascii="Aquawax" w:hAnsi="Aquawax" w:cs="Tahoma"/>
          <w:bCs/>
          <w:color w:val="000000"/>
          <w:shd w:val="clear" w:color="auto" w:fill="FFFFFF"/>
        </w:rPr>
        <w:t>al  el equipo de Comunicación de la Comisión del Patrimonio acerca de las tendencias y nuevas herramientas digitales.</w:t>
      </w:r>
    </w:p>
    <w:p w:rsidR="004F3593" w:rsidRPr="004F3593" w:rsidRDefault="004F3593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</w:p>
    <w:p w:rsidR="00115C87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/>
          <w:bCs/>
          <w:color w:val="000000"/>
          <w:shd w:val="clear" w:color="auto" w:fill="FFFFFF"/>
        </w:rPr>
        <w:t>Monitoreo</w:t>
      </w:r>
      <w:r w:rsidRPr="004F3593">
        <w:rPr>
          <w:rFonts w:ascii="Aquawax" w:hAnsi="Aquawax" w:cs="Tahoma"/>
          <w:bCs/>
          <w:color w:val="000000"/>
          <w:shd w:val="clear" w:color="auto" w:fill="FFFFFF"/>
        </w:rPr>
        <w:t xml:space="preserve"> de la estrategia planteada (medición de avance de objetivos planteados)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4F3593" w:rsidRPr="004F3593" w:rsidRDefault="004F3593" w:rsidP="006A6D08">
      <w:pPr>
        <w:rPr>
          <w:rFonts w:ascii="Aquawax" w:hAnsi="Aquawax" w:cs="Tahoma"/>
          <w:b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/>
          <w:bCs/>
          <w:color w:val="000000"/>
          <w:shd w:val="clear" w:color="auto" w:fill="FFFFFF"/>
        </w:rPr>
        <w:t xml:space="preserve">Gestión de RRSS 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>Cronograma de publicaciones y anuncios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>Diseño de Publicaciones, optimización de la campaña de medios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proofErr w:type="spellStart"/>
      <w:r w:rsidRPr="004F3593">
        <w:rPr>
          <w:rFonts w:ascii="Aquawax" w:hAnsi="Aquawax" w:cs="Tahoma"/>
          <w:bCs/>
          <w:color w:val="000000"/>
          <w:shd w:val="clear" w:color="auto" w:fill="FFFFFF"/>
        </w:rPr>
        <w:t>Feedback</w:t>
      </w:r>
      <w:proofErr w:type="spellEnd"/>
      <w:r w:rsidRPr="004F3593">
        <w:rPr>
          <w:rFonts w:ascii="Aquawax" w:hAnsi="Aquawax" w:cs="Tahoma"/>
          <w:bCs/>
          <w:color w:val="000000"/>
          <w:shd w:val="clear" w:color="auto" w:fill="FFFFFF"/>
        </w:rPr>
        <w:t xml:space="preserve"> con usuarios y gestión de respuestas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 xml:space="preserve">Propuesta para plataformas digitales como Google, Facebook, Instagram, </w:t>
      </w:r>
      <w:proofErr w:type="spellStart"/>
      <w:r w:rsidRPr="004F3593">
        <w:rPr>
          <w:rFonts w:ascii="Aquawax" w:hAnsi="Aquawax" w:cs="Tahoma"/>
          <w:bCs/>
          <w:color w:val="000000"/>
          <w:shd w:val="clear" w:color="auto" w:fill="FFFFFF"/>
        </w:rPr>
        <w:t>Linkeding</w:t>
      </w:r>
      <w:proofErr w:type="spellEnd"/>
      <w:r w:rsidRPr="004F3593">
        <w:rPr>
          <w:rFonts w:ascii="Aquawax" w:hAnsi="Aquawax" w:cs="Tahoma"/>
          <w:bCs/>
          <w:color w:val="000000"/>
          <w:shd w:val="clear" w:color="auto" w:fill="FFFFFF"/>
        </w:rPr>
        <w:t xml:space="preserve">, Twitter, </w:t>
      </w:r>
      <w:proofErr w:type="spellStart"/>
      <w:r w:rsidRPr="004F3593">
        <w:rPr>
          <w:rFonts w:ascii="Aquawax" w:hAnsi="Aquawax" w:cs="Tahoma"/>
          <w:bCs/>
          <w:color w:val="000000"/>
          <w:shd w:val="clear" w:color="auto" w:fill="FFFFFF"/>
        </w:rPr>
        <w:t>Youtube</w:t>
      </w:r>
      <w:proofErr w:type="spellEnd"/>
      <w:r w:rsidRPr="004F3593">
        <w:rPr>
          <w:rFonts w:ascii="Aquawax" w:hAnsi="Aquawax" w:cs="Tahoma"/>
          <w:bCs/>
          <w:color w:val="000000"/>
          <w:shd w:val="clear" w:color="auto" w:fill="FFFFFF"/>
        </w:rPr>
        <w:t>.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/>
          <w:bCs/>
          <w:color w:val="000000"/>
          <w:shd w:val="clear" w:color="auto" w:fill="FFFFFF"/>
        </w:rPr>
        <w:t>Configuración</w:t>
      </w:r>
      <w:r w:rsidRPr="004F3593">
        <w:rPr>
          <w:rFonts w:ascii="Aquawax" w:hAnsi="Aquawax" w:cs="Tahoma"/>
          <w:bCs/>
          <w:color w:val="000000"/>
          <w:shd w:val="clear" w:color="auto" w:fill="FFFFFF"/>
        </w:rPr>
        <w:t xml:space="preserve"> de las plataformas mencionadas para enlazar con la web de patrimonio configurando los íconos a las RRSS.</w:t>
      </w:r>
    </w:p>
    <w:p w:rsidR="004F3593" w:rsidRP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</w:p>
    <w:p w:rsidR="004F3593" w:rsidRDefault="004F3593" w:rsidP="006A6D08">
      <w:pPr>
        <w:rPr>
          <w:rFonts w:ascii="Aquawax" w:hAnsi="Aquawax" w:cs="Tahoma"/>
          <w:bCs/>
          <w:color w:val="000000"/>
          <w:shd w:val="clear" w:color="auto" w:fill="FFFFFF"/>
        </w:rPr>
      </w:pPr>
      <w:r w:rsidRPr="004F3593">
        <w:rPr>
          <w:rFonts w:ascii="Aquawax" w:hAnsi="Aquawax" w:cs="Tahoma"/>
          <w:bCs/>
          <w:color w:val="000000"/>
          <w:shd w:val="clear" w:color="auto" w:fill="FFFFFF"/>
        </w:rPr>
        <w:t>Recomendaciones en lo referente a posibles compras en dichos medios digitales para optimizar difusión.</w:t>
      </w:r>
    </w:p>
    <w:p w:rsidR="00D71422" w:rsidRPr="004F3593" w:rsidRDefault="00D71422" w:rsidP="00D72E20">
      <w:pPr>
        <w:rPr>
          <w:rFonts w:ascii="Aquawax" w:hAnsi="Aquawax" w:cs="Tahoma"/>
        </w:rPr>
      </w:pPr>
      <w:bookmarkStart w:id="0" w:name="_GoBack"/>
      <w:bookmarkEnd w:id="0"/>
    </w:p>
    <w:sectPr w:rsidR="00D71422" w:rsidRPr="004F3593" w:rsidSect="00B1773F">
      <w:headerReference w:type="default" r:id="rId9"/>
      <w:footerReference w:type="default" r:id="rId10"/>
      <w:pgSz w:w="11906" w:h="16838" w:code="9"/>
      <w:pgMar w:top="170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46" w:rsidRDefault="004B4B46">
      <w:r>
        <w:separator/>
      </w:r>
    </w:p>
  </w:endnote>
  <w:endnote w:type="continuationSeparator" w:id="0">
    <w:p w:rsidR="004B4B46" w:rsidRDefault="004B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00" w:rsidRPr="007E5700" w:rsidRDefault="00D72E20" w:rsidP="00815879">
    <w:pPr>
      <w:jc w:val="center"/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>
          <wp:extent cx="4676775" cy="405130"/>
          <wp:effectExtent l="0" t="0" r="0" b="0"/>
          <wp:docPr id="2" name="Imagen 2" descr="Logo MEC - Patrimonio 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C - Patrimonio 2020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46" w:rsidRDefault="004B4B46">
      <w:r>
        <w:separator/>
      </w:r>
    </w:p>
  </w:footnote>
  <w:footnote w:type="continuationSeparator" w:id="0">
    <w:p w:rsidR="004B4B46" w:rsidRDefault="004B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C" w:rsidRDefault="00D72E20" w:rsidP="001C4867">
    <w:pPr>
      <w:pStyle w:val="Encabezado"/>
      <w:ind w:right="-285"/>
      <w:jc w:val="center"/>
    </w:pPr>
    <w:r>
      <w:rPr>
        <w:noProof/>
      </w:rPr>
      <w:drawing>
        <wp:inline distT="0" distB="0" distL="0" distR="0">
          <wp:extent cx="4338955" cy="800100"/>
          <wp:effectExtent l="0" t="0" r="0" b="0"/>
          <wp:docPr id="1" name="Imagen 1" descr="Logo MEC - Patrimonio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C - Patrimonio 202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74D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A608CF"/>
    <w:multiLevelType w:val="hybridMultilevel"/>
    <w:tmpl w:val="89D8C806"/>
    <w:lvl w:ilvl="0" w:tplc="9EB06A3A">
      <w:numFmt w:val="bullet"/>
      <w:lvlText w:val="-"/>
      <w:lvlJc w:val="left"/>
      <w:pPr>
        <w:ind w:left="1776" w:hanging="360"/>
      </w:pPr>
      <w:rPr>
        <w:rFonts w:ascii="Aquawax" w:eastAsia="Times New Roman" w:hAnsi="Aquawax" w:cs="Aria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8"/>
    <w:rsid w:val="0002427B"/>
    <w:rsid w:val="00035ACA"/>
    <w:rsid w:val="00050689"/>
    <w:rsid w:val="000519B2"/>
    <w:rsid w:val="00065534"/>
    <w:rsid w:val="00066176"/>
    <w:rsid w:val="00085923"/>
    <w:rsid w:val="00086CA7"/>
    <w:rsid w:val="00094C02"/>
    <w:rsid w:val="000A5D8A"/>
    <w:rsid w:val="000A6353"/>
    <w:rsid w:val="000D329D"/>
    <w:rsid w:val="000D32EC"/>
    <w:rsid w:val="000D330D"/>
    <w:rsid w:val="000E54E7"/>
    <w:rsid w:val="000E6953"/>
    <w:rsid w:val="000F6B7F"/>
    <w:rsid w:val="0010753B"/>
    <w:rsid w:val="00115C87"/>
    <w:rsid w:val="001306E8"/>
    <w:rsid w:val="00137977"/>
    <w:rsid w:val="00174D87"/>
    <w:rsid w:val="00194F8F"/>
    <w:rsid w:val="001C4867"/>
    <w:rsid w:val="001D7790"/>
    <w:rsid w:val="001E35C5"/>
    <w:rsid w:val="001E53BF"/>
    <w:rsid w:val="001E6768"/>
    <w:rsid w:val="002246EC"/>
    <w:rsid w:val="00240410"/>
    <w:rsid w:val="0024682C"/>
    <w:rsid w:val="00246B2E"/>
    <w:rsid w:val="00247271"/>
    <w:rsid w:val="0025200D"/>
    <w:rsid w:val="002705E8"/>
    <w:rsid w:val="00272865"/>
    <w:rsid w:val="00276B8D"/>
    <w:rsid w:val="00281308"/>
    <w:rsid w:val="0028548C"/>
    <w:rsid w:val="00291F27"/>
    <w:rsid w:val="002A25D5"/>
    <w:rsid w:val="002B2CA2"/>
    <w:rsid w:val="002E3F15"/>
    <w:rsid w:val="0034339E"/>
    <w:rsid w:val="00344700"/>
    <w:rsid w:val="003555CD"/>
    <w:rsid w:val="00356C10"/>
    <w:rsid w:val="003663F6"/>
    <w:rsid w:val="00366F8F"/>
    <w:rsid w:val="0037151D"/>
    <w:rsid w:val="003816C1"/>
    <w:rsid w:val="003A4BF0"/>
    <w:rsid w:val="003B3F7D"/>
    <w:rsid w:val="003D0034"/>
    <w:rsid w:val="003E203F"/>
    <w:rsid w:val="003E59C6"/>
    <w:rsid w:val="003E747E"/>
    <w:rsid w:val="003E7980"/>
    <w:rsid w:val="003F3A6E"/>
    <w:rsid w:val="004109E7"/>
    <w:rsid w:val="00420B9C"/>
    <w:rsid w:val="00426A48"/>
    <w:rsid w:val="004413C9"/>
    <w:rsid w:val="004566AC"/>
    <w:rsid w:val="00466E9F"/>
    <w:rsid w:val="00474998"/>
    <w:rsid w:val="00485EE4"/>
    <w:rsid w:val="004B4B46"/>
    <w:rsid w:val="004C555C"/>
    <w:rsid w:val="004E412D"/>
    <w:rsid w:val="004F3593"/>
    <w:rsid w:val="005039B4"/>
    <w:rsid w:val="00504302"/>
    <w:rsid w:val="005462EB"/>
    <w:rsid w:val="00563D6A"/>
    <w:rsid w:val="00564ACB"/>
    <w:rsid w:val="00570E80"/>
    <w:rsid w:val="005B6E81"/>
    <w:rsid w:val="005C2E50"/>
    <w:rsid w:val="005D57DC"/>
    <w:rsid w:val="005E033E"/>
    <w:rsid w:val="005E0870"/>
    <w:rsid w:val="005E49D5"/>
    <w:rsid w:val="0060017A"/>
    <w:rsid w:val="00606E26"/>
    <w:rsid w:val="00611700"/>
    <w:rsid w:val="006360B5"/>
    <w:rsid w:val="0067563B"/>
    <w:rsid w:val="006758D2"/>
    <w:rsid w:val="006777EC"/>
    <w:rsid w:val="0068622E"/>
    <w:rsid w:val="0069798E"/>
    <w:rsid w:val="006A0247"/>
    <w:rsid w:val="006A4991"/>
    <w:rsid w:val="006A6D08"/>
    <w:rsid w:val="006B0EBE"/>
    <w:rsid w:val="006B4061"/>
    <w:rsid w:val="006B794D"/>
    <w:rsid w:val="006F4D36"/>
    <w:rsid w:val="00716081"/>
    <w:rsid w:val="00740250"/>
    <w:rsid w:val="007448E7"/>
    <w:rsid w:val="00763A00"/>
    <w:rsid w:val="00763C0A"/>
    <w:rsid w:val="0077038D"/>
    <w:rsid w:val="00784C37"/>
    <w:rsid w:val="0078562E"/>
    <w:rsid w:val="00787F77"/>
    <w:rsid w:val="007B7877"/>
    <w:rsid w:val="007E3961"/>
    <w:rsid w:val="007E5700"/>
    <w:rsid w:val="007E7B4A"/>
    <w:rsid w:val="007F3A54"/>
    <w:rsid w:val="0080179E"/>
    <w:rsid w:val="00807141"/>
    <w:rsid w:val="008108EC"/>
    <w:rsid w:val="00815879"/>
    <w:rsid w:val="00825B62"/>
    <w:rsid w:val="00832EDD"/>
    <w:rsid w:val="00842AFC"/>
    <w:rsid w:val="00861700"/>
    <w:rsid w:val="00863EC8"/>
    <w:rsid w:val="00875DD3"/>
    <w:rsid w:val="00876507"/>
    <w:rsid w:val="00885B55"/>
    <w:rsid w:val="008B6A69"/>
    <w:rsid w:val="008E168C"/>
    <w:rsid w:val="008E6D88"/>
    <w:rsid w:val="00904B5B"/>
    <w:rsid w:val="00910E4A"/>
    <w:rsid w:val="00914CB3"/>
    <w:rsid w:val="00920A39"/>
    <w:rsid w:val="009251F0"/>
    <w:rsid w:val="009313A1"/>
    <w:rsid w:val="00937F52"/>
    <w:rsid w:val="00973098"/>
    <w:rsid w:val="00974467"/>
    <w:rsid w:val="0098004B"/>
    <w:rsid w:val="00985285"/>
    <w:rsid w:val="009904C4"/>
    <w:rsid w:val="009A675E"/>
    <w:rsid w:val="009D61B1"/>
    <w:rsid w:val="009D667D"/>
    <w:rsid w:val="009F298C"/>
    <w:rsid w:val="009F2CEA"/>
    <w:rsid w:val="00A04370"/>
    <w:rsid w:val="00A0584D"/>
    <w:rsid w:val="00A21D8B"/>
    <w:rsid w:val="00A348AD"/>
    <w:rsid w:val="00A46008"/>
    <w:rsid w:val="00A6300A"/>
    <w:rsid w:val="00A6406C"/>
    <w:rsid w:val="00A66886"/>
    <w:rsid w:val="00A77FCF"/>
    <w:rsid w:val="00A825D2"/>
    <w:rsid w:val="00AA13E6"/>
    <w:rsid w:val="00AC185E"/>
    <w:rsid w:val="00AC2585"/>
    <w:rsid w:val="00AE1722"/>
    <w:rsid w:val="00B1773F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A3157"/>
    <w:rsid w:val="00BC59F1"/>
    <w:rsid w:val="00C323B6"/>
    <w:rsid w:val="00C42203"/>
    <w:rsid w:val="00C42C34"/>
    <w:rsid w:val="00C46AFF"/>
    <w:rsid w:val="00C66B23"/>
    <w:rsid w:val="00C86A5B"/>
    <w:rsid w:val="00C8727C"/>
    <w:rsid w:val="00CB2D40"/>
    <w:rsid w:val="00CD54E4"/>
    <w:rsid w:val="00CE05AA"/>
    <w:rsid w:val="00CF6791"/>
    <w:rsid w:val="00D01041"/>
    <w:rsid w:val="00D150D4"/>
    <w:rsid w:val="00D31447"/>
    <w:rsid w:val="00D36293"/>
    <w:rsid w:val="00D402EE"/>
    <w:rsid w:val="00D4156F"/>
    <w:rsid w:val="00D44B67"/>
    <w:rsid w:val="00D71422"/>
    <w:rsid w:val="00D72E20"/>
    <w:rsid w:val="00D7663F"/>
    <w:rsid w:val="00D83083"/>
    <w:rsid w:val="00DA4165"/>
    <w:rsid w:val="00DC5E47"/>
    <w:rsid w:val="00DF4A50"/>
    <w:rsid w:val="00E21D26"/>
    <w:rsid w:val="00E22A48"/>
    <w:rsid w:val="00E26A5C"/>
    <w:rsid w:val="00E46BA6"/>
    <w:rsid w:val="00E8124C"/>
    <w:rsid w:val="00E93666"/>
    <w:rsid w:val="00E95A05"/>
    <w:rsid w:val="00E96230"/>
    <w:rsid w:val="00EA0804"/>
    <w:rsid w:val="00EB1928"/>
    <w:rsid w:val="00EC0555"/>
    <w:rsid w:val="00EC31EE"/>
    <w:rsid w:val="00EE73C5"/>
    <w:rsid w:val="00F03551"/>
    <w:rsid w:val="00F21095"/>
    <w:rsid w:val="00F4036C"/>
    <w:rsid w:val="00F45E6B"/>
    <w:rsid w:val="00F60EBA"/>
    <w:rsid w:val="00F64786"/>
    <w:rsid w:val="00F85567"/>
    <w:rsid w:val="00F94053"/>
    <w:rsid w:val="00FB4A61"/>
    <w:rsid w:val="00FD1301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EC5B-837B-4199-910E-5B82A252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MEC.dot</Template>
  <TotalTime>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>MEC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creator>ecomunicacion</dc:creator>
  <cp:lastModifiedBy>Jose Hernandez</cp:lastModifiedBy>
  <cp:revision>4</cp:revision>
  <cp:lastPrinted>2020-05-19T18:02:00Z</cp:lastPrinted>
  <dcterms:created xsi:type="dcterms:W3CDTF">2020-09-14T12:17:00Z</dcterms:created>
  <dcterms:modified xsi:type="dcterms:W3CDTF">2020-09-14T12:30:00Z</dcterms:modified>
</cp:coreProperties>
</file>