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AA" w:rsidRDefault="00E550AA">
      <w:pPr>
        <w:pStyle w:val="Header"/>
        <w:spacing w:before="280" w:after="280"/>
        <w:rPr>
          <w:lang w:val="pt-BR"/>
        </w:rPr>
      </w:pPr>
    </w:p>
    <w:p w:rsidR="00E550AA" w:rsidRDefault="009530BC" w:rsidP="009B3846">
      <w:pPr>
        <w:tabs>
          <w:tab w:val="center" w:pos="4252"/>
          <w:tab w:val="left" w:pos="6795"/>
        </w:tabs>
        <w:spacing w:before="100" w:after="100"/>
        <w:jc w:val="center"/>
        <w:rPr>
          <w:rFonts w:ascii="Baskerville Old Face" w:hAnsi="Baskerville Old Face"/>
          <w:b/>
          <w:sz w:val="24"/>
          <w:szCs w:val="24"/>
          <w:u w:val="single"/>
          <w:lang w:val="es-UY"/>
        </w:rPr>
      </w:pPr>
      <w:r>
        <w:rPr>
          <w:rFonts w:ascii="Baskerville Old Face" w:hAnsi="Baskerville Old Face"/>
          <w:b/>
          <w:sz w:val="24"/>
          <w:szCs w:val="24"/>
          <w:u w:val="single"/>
          <w:lang w:val="es-UY"/>
        </w:rPr>
        <w:t>COMPRA DIRECTA</w:t>
      </w:r>
    </w:p>
    <w:p w:rsidR="00E550AA" w:rsidRDefault="009530BC">
      <w:pPr>
        <w:pStyle w:val="Sinespaciado"/>
        <w:numPr>
          <w:ilvl w:val="0"/>
          <w:numId w:val="1"/>
        </w:numPr>
        <w:spacing w:before="100" w:after="100"/>
        <w:rPr>
          <w:rFonts w:ascii="Bookman Old Style" w:hAnsi="Bookman Old Style"/>
          <w:lang w:val="es-UY"/>
        </w:rPr>
      </w:pPr>
      <w:r>
        <w:rPr>
          <w:rFonts w:ascii="Bookman Old Style" w:hAnsi="Bookman Old Style"/>
          <w:b/>
          <w:lang w:val="es-UY"/>
        </w:rPr>
        <w:t>Se solicita</w:t>
      </w:r>
      <w:r>
        <w:rPr>
          <w:rFonts w:ascii="Bookman Old Style" w:hAnsi="Bookman Old Style"/>
          <w:lang w:val="es-UY"/>
        </w:rPr>
        <w:t xml:space="preserve">:  </w:t>
      </w:r>
    </w:p>
    <w:tbl>
      <w:tblPr>
        <w:tblW w:w="8520" w:type="dxa"/>
        <w:tblInd w:w="55" w:type="dxa"/>
        <w:tblCellMar>
          <w:left w:w="70" w:type="dxa"/>
          <w:right w:w="70" w:type="dxa"/>
        </w:tblCellMar>
        <w:tblLook w:val="04A0"/>
      </w:tblPr>
      <w:tblGrid>
        <w:gridCol w:w="1444"/>
        <w:gridCol w:w="1733"/>
        <w:gridCol w:w="5343"/>
      </w:tblGrid>
      <w:tr w:rsidR="00E550AA" w:rsidTr="00FA5A05">
        <w:trPr>
          <w:trHeight w:val="300"/>
        </w:trPr>
        <w:tc>
          <w:tcPr>
            <w:tcW w:w="1444" w:type="dxa"/>
            <w:tcBorders>
              <w:top w:val="single" w:sz="4" w:space="0" w:color="000000"/>
              <w:left w:val="single" w:sz="4" w:space="0" w:color="000000"/>
              <w:bottom w:val="single" w:sz="4" w:space="0" w:color="auto"/>
              <w:right w:val="single" w:sz="4" w:space="0" w:color="000000"/>
            </w:tcBorders>
            <w:shd w:val="clear" w:color="auto" w:fill="auto"/>
            <w:vAlign w:val="bottom"/>
          </w:tcPr>
          <w:p w:rsidR="00E550AA" w:rsidRDefault="009530BC">
            <w:pPr>
              <w:spacing w:before="280" w:beforeAutospacing="0" w:after="280" w:afterAutospacing="0"/>
              <w:jc w:val="center"/>
              <w:rPr>
                <w:rFonts w:ascii="Calibri" w:eastAsia="Times New Roman" w:hAnsi="Calibri" w:cs="Times New Roman"/>
                <w:color w:val="000000"/>
                <w:lang w:eastAsia="es-ES"/>
              </w:rPr>
            </w:pPr>
            <w:r>
              <w:rPr>
                <w:rFonts w:eastAsia="Times New Roman" w:cs="Times New Roman"/>
                <w:color w:val="000000"/>
                <w:lang w:eastAsia="es-ES"/>
              </w:rPr>
              <w:t>Ítem</w:t>
            </w:r>
          </w:p>
        </w:tc>
        <w:tc>
          <w:tcPr>
            <w:tcW w:w="1733" w:type="dxa"/>
            <w:tcBorders>
              <w:top w:val="single" w:sz="4" w:space="0" w:color="000000"/>
              <w:bottom w:val="single" w:sz="4" w:space="0" w:color="auto"/>
              <w:right w:val="single" w:sz="4" w:space="0" w:color="000000"/>
            </w:tcBorders>
            <w:shd w:val="clear" w:color="auto" w:fill="auto"/>
            <w:vAlign w:val="bottom"/>
          </w:tcPr>
          <w:p w:rsidR="00E550AA" w:rsidRDefault="009530BC">
            <w:pPr>
              <w:spacing w:before="280" w:beforeAutospacing="0" w:after="280" w:afterAutospacing="0"/>
              <w:jc w:val="center"/>
              <w:rPr>
                <w:rFonts w:ascii="Calibri" w:eastAsia="Times New Roman" w:hAnsi="Calibri" w:cs="Times New Roman"/>
                <w:color w:val="000000"/>
                <w:lang w:eastAsia="es-ES"/>
              </w:rPr>
            </w:pPr>
            <w:r>
              <w:rPr>
                <w:rFonts w:eastAsia="Times New Roman" w:cs="Times New Roman"/>
                <w:color w:val="000000"/>
                <w:lang w:eastAsia="es-ES"/>
              </w:rPr>
              <w:t>Cantidad Unidad</w:t>
            </w:r>
          </w:p>
        </w:tc>
        <w:tc>
          <w:tcPr>
            <w:tcW w:w="5343" w:type="dxa"/>
            <w:tcBorders>
              <w:top w:val="single" w:sz="4" w:space="0" w:color="000000"/>
              <w:bottom w:val="single" w:sz="4" w:space="0" w:color="auto"/>
              <w:right w:val="single" w:sz="4" w:space="0" w:color="000000"/>
            </w:tcBorders>
            <w:shd w:val="clear" w:color="auto" w:fill="auto"/>
            <w:vAlign w:val="bottom"/>
          </w:tcPr>
          <w:p w:rsidR="00E550AA" w:rsidRDefault="009530BC">
            <w:pPr>
              <w:spacing w:before="280" w:beforeAutospacing="0" w:after="280" w:afterAutospacing="0"/>
              <w:jc w:val="center"/>
              <w:rPr>
                <w:rFonts w:ascii="Calibri" w:eastAsia="Times New Roman" w:hAnsi="Calibri" w:cs="Times New Roman"/>
                <w:color w:val="000000"/>
                <w:lang w:eastAsia="es-ES"/>
              </w:rPr>
            </w:pPr>
            <w:r>
              <w:rPr>
                <w:rFonts w:eastAsia="Times New Roman" w:cs="Times New Roman"/>
                <w:color w:val="000000"/>
                <w:lang w:eastAsia="es-ES"/>
              </w:rPr>
              <w:t>Descripción</w:t>
            </w:r>
          </w:p>
        </w:tc>
      </w:tr>
      <w:tr w:rsidR="00E550AA" w:rsidTr="00FA5A05">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auto"/>
            <w:vAlign w:val="bottom"/>
          </w:tcPr>
          <w:p w:rsidR="00E550AA" w:rsidRDefault="009530BC">
            <w:pPr>
              <w:spacing w:before="280" w:beforeAutospacing="0" w:after="280" w:afterAutospacing="0"/>
              <w:jc w:val="center"/>
              <w:rPr>
                <w:b/>
                <w:bCs/>
              </w:rPr>
            </w:pPr>
            <w:r>
              <w:rPr>
                <w:rFonts w:eastAsia="Times New Roman" w:cs="Times New Roman"/>
                <w:b/>
                <w:bCs/>
                <w:color w:val="000000"/>
                <w:lang w:eastAsia="es-ES"/>
              </w:rPr>
              <w:t>1</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E550AA" w:rsidRDefault="00056F31">
            <w:pPr>
              <w:spacing w:before="280" w:beforeAutospacing="0" w:after="280" w:afterAutospacing="0"/>
              <w:jc w:val="center"/>
              <w:rPr>
                <w:rFonts w:ascii="Calibri" w:eastAsia="Times New Roman" w:hAnsi="Calibri" w:cs="Times New Roman"/>
                <w:b/>
                <w:bCs/>
                <w:color w:val="000000"/>
                <w:lang w:eastAsia="es-ES"/>
              </w:rPr>
            </w:pPr>
            <w:r>
              <w:rPr>
                <w:rFonts w:eastAsia="Times New Roman" w:cs="Times New Roman"/>
                <w:b/>
                <w:bCs/>
                <w:color w:val="000000"/>
                <w:lang w:eastAsia="es-ES"/>
              </w:rPr>
              <w:t>1</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bottom"/>
          </w:tcPr>
          <w:p w:rsidR="004B242F" w:rsidRDefault="002101AE" w:rsidP="004B242F">
            <w:pPr>
              <w:spacing w:before="280" w:beforeAutospacing="0" w:after="280" w:afterAutospacing="0"/>
              <w:rPr>
                <w:rFonts w:eastAsia="Times New Roman" w:cs="Times New Roman"/>
                <w:color w:val="000000"/>
                <w:lang w:eastAsia="es-ES"/>
              </w:rPr>
            </w:pPr>
            <w:r>
              <w:rPr>
                <w:rFonts w:eastAsia="Times New Roman" w:cs="Times New Roman"/>
                <w:color w:val="000000"/>
                <w:lang w:eastAsia="es-ES"/>
              </w:rPr>
              <w:t>Terminal de Autoclave (DISPLAY HDMI)</w:t>
            </w:r>
          </w:p>
          <w:p w:rsidR="00056F31" w:rsidRDefault="00056F31" w:rsidP="004B242F">
            <w:pPr>
              <w:spacing w:before="280" w:beforeAutospacing="0" w:after="280" w:afterAutospacing="0"/>
              <w:rPr>
                <w:rFonts w:eastAsia="Times New Roman" w:cs="Times New Roman"/>
                <w:color w:val="000000"/>
                <w:lang w:eastAsia="es-ES"/>
              </w:rPr>
            </w:pPr>
            <w:r>
              <w:rPr>
                <w:rFonts w:eastAsia="Times New Roman" w:cs="Times New Roman"/>
                <w:color w:val="000000"/>
                <w:lang w:eastAsia="es-ES"/>
              </w:rPr>
              <w:t>(Equipo Autoclave Horizontal  Marca SIAC Modelo AH-2-400-P-1)</w:t>
            </w:r>
          </w:p>
          <w:p w:rsidR="004B242F" w:rsidRPr="00FA5A05" w:rsidRDefault="004B242F" w:rsidP="004B242F">
            <w:pPr>
              <w:spacing w:before="280" w:beforeAutospacing="0" w:after="280" w:afterAutospacing="0"/>
              <w:rPr>
                <w:rFonts w:eastAsia="Times New Roman" w:cs="Times New Roman"/>
                <w:color w:val="000000"/>
                <w:lang w:eastAsia="es-ES"/>
              </w:rPr>
            </w:pPr>
          </w:p>
        </w:tc>
      </w:tr>
    </w:tbl>
    <w:p w:rsidR="00E550AA" w:rsidRDefault="00E550AA">
      <w:pPr>
        <w:pStyle w:val="Sinespaciado"/>
        <w:spacing w:before="100" w:after="100"/>
        <w:rPr>
          <w:rFonts w:ascii="Bookman Old Style" w:hAnsi="Bookman Old Style"/>
          <w:lang w:val="es-UY"/>
        </w:rPr>
      </w:pPr>
    </w:p>
    <w:p w:rsidR="004B242F" w:rsidRDefault="009530BC" w:rsidP="004B242F">
      <w:pPr>
        <w:pStyle w:val="Sinespaciado"/>
        <w:numPr>
          <w:ilvl w:val="0"/>
          <w:numId w:val="1"/>
        </w:numPr>
        <w:spacing w:before="100" w:after="100"/>
        <w:rPr>
          <w:rFonts w:ascii="Bookman Old Style" w:hAnsi="Bookman Old Style"/>
          <w:b/>
          <w:lang w:val="es-UY"/>
        </w:rPr>
      </w:pPr>
      <w:r>
        <w:rPr>
          <w:rFonts w:ascii="Bookman Old Style" w:hAnsi="Bookman Old Style"/>
          <w:b/>
          <w:lang w:val="es-UY"/>
        </w:rPr>
        <w:t>Adjuntar detalles del producto cotizad</w:t>
      </w:r>
      <w:r w:rsidR="004B242F">
        <w:rPr>
          <w:rFonts w:ascii="Bookman Old Style" w:hAnsi="Bookman Old Style"/>
          <w:b/>
          <w:lang w:val="es-UY"/>
        </w:rPr>
        <w:t>o.</w:t>
      </w:r>
    </w:p>
    <w:p w:rsidR="00213672" w:rsidRDefault="00213672" w:rsidP="00213672">
      <w:pPr>
        <w:pStyle w:val="Sinespaciado"/>
        <w:spacing w:before="100" w:after="100"/>
        <w:rPr>
          <w:rFonts w:ascii="Bookman Old Style" w:hAnsi="Bookman Old Style"/>
          <w:b/>
          <w:lang w:val="es-UY"/>
        </w:rPr>
      </w:pPr>
      <w:r>
        <w:rPr>
          <w:rFonts w:ascii="Bookman Old Style" w:hAnsi="Bookman Old Style"/>
          <w:b/>
          <w:lang w:val="es-UY"/>
        </w:rPr>
        <w:t xml:space="preserve">          </w:t>
      </w:r>
      <w:r w:rsidR="004B242F">
        <w:rPr>
          <w:rFonts w:ascii="Bookman Old Style" w:hAnsi="Bookman Old Style"/>
          <w:b/>
          <w:lang w:val="es-UY"/>
        </w:rPr>
        <w:t xml:space="preserve">2.1 – </w:t>
      </w:r>
      <w:r w:rsidRPr="00213672">
        <w:rPr>
          <w:rFonts w:ascii="Bookman Old Style" w:hAnsi="Bookman Old Style"/>
          <w:b/>
          <w:u w:val="single"/>
          <w:lang w:val="es-UY"/>
        </w:rPr>
        <w:t>Cotizar la INSTALACIÓN</w:t>
      </w:r>
      <w:r w:rsidR="00070FBA">
        <w:rPr>
          <w:rFonts w:ascii="Bookman Old Style" w:hAnsi="Bookman Old Style"/>
          <w:b/>
          <w:u w:val="single"/>
          <w:lang w:val="es-UY"/>
        </w:rPr>
        <w:t xml:space="preserve"> </w:t>
      </w:r>
      <w:r w:rsidR="00070FBA">
        <w:rPr>
          <w:rFonts w:ascii="Bookman Old Style" w:hAnsi="Bookman Old Style"/>
          <w:b/>
          <w:lang w:val="es-UY"/>
        </w:rPr>
        <w:t>como adicional.</w:t>
      </w:r>
      <w:r>
        <w:rPr>
          <w:rFonts w:ascii="Bookman Old Style" w:hAnsi="Bookman Old Style"/>
          <w:b/>
          <w:u w:val="single"/>
          <w:lang w:val="es-UY"/>
        </w:rPr>
        <w:t>.</w:t>
      </w:r>
    </w:p>
    <w:p w:rsidR="00E550AA" w:rsidRDefault="009530BC">
      <w:pPr>
        <w:pStyle w:val="Sinespaciado"/>
        <w:numPr>
          <w:ilvl w:val="0"/>
          <w:numId w:val="1"/>
        </w:numPr>
        <w:spacing w:before="100" w:after="100"/>
        <w:rPr>
          <w:rFonts w:ascii="Bookman Old Style" w:hAnsi="Bookman Old Style"/>
          <w:lang w:val="es-UY"/>
        </w:rPr>
      </w:pPr>
      <w:r>
        <w:rPr>
          <w:rFonts w:ascii="Bookman Old Style" w:hAnsi="Bookman Old Style"/>
          <w:b/>
          <w:lang w:val="es-UY"/>
        </w:rPr>
        <w:t>Forma de cotizar</w:t>
      </w:r>
      <w:r>
        <w:rPr>
          <w:rFonts w:ascii="Bookman Old Style" w:hAnsi="Bookman Old Style"/>
          <w:lang w:val="es-UY"/>
        </w:rPr>
        <w:t>: Los precios deberán cotizarse:</w:t>
      </w:r>
    </w:p>
    <w:p w:rsidR="00E550AA" w:rsidRDefault="009530BC">
      <w:pPr>
        <w:pStyle w:val="Sinespaciado"/>
        <w:numPr>
          <w:ilvl w:val="0"/>
          <w:numId w:val="2"/>
        </w:numPr>
        <w:spacing w:before="100" w:after="280"/>
        <w:rPr>
          <w:rFonts w:ascii="Bookman Old Style" w:hAnsi="Bookman Old Style"/>
          <w:lang w:val="es-UY"/>
        </w:rPr>
      </w:pPr>
      <w:r>
        <w:rPr>
          <w:rFonts w:ascii="Bookman Old Style" w:hAnsi="Bookman Old Style"/>
          <w:lang w:val="es-UY"/>
        </w:rPr>
        <w:t>Precios unitarios por ítem.</w:t>
      </w:r>
    </w:p>
    <w:p w:rsidR="00E550AA" w:rsidRDefault="009530BC">
      <w:pPr>
        <w:pStyle w:val="Sinespaciado"/>
        <w:numPr>
          <w:ilvl w:val="0"/>
          <w:numId w:val="2"/>
        </w:numPr>
        <w:spacing w:before="100" w:after="280"/>
        <w:rPr>
          <w:rFonts w:ascii="Bookman Old Style" w:hAnsi="Bookman Old Style"/>
          <w:lang w:val="es-UY"/>
        </w:rPr>
      </w:pPr>
      <w:r>
        <w:rPr>
          <w:rFonts w:ascii="Bookman Old Style" w:hAnsi="Bookman Old Style"/>
          <w:lang w:val="es-UY"/>
        </w:rPr>
        <w:t>Se deberá cotizar en moneda nacional, sin impuestos, detallándose los mismos en forma separada.</w:t>
      </w:r>
    </w:p>
    <w:p w:rsidR="00E550AA" w:rsidRDefault="009530BC">
      <w:pPr>
        <w:pStyle w:val="Sinespaciado"/>
        <w:numPr>
          <w:ilvl w:val="0"/>
          <w:numId w:val="2"/>
        </w:numPr>
        <w:spacing w:before="100" w:after="100"/>
        <w:rPr>
          <w:rFonts w:ascii="Bookman Old Style" w:hAnsi="Bookman Old Style"/>
          <w:lang w:val="es-UY"/>
        </w:rPr>
      </w:pPr>
      <w:r>
        <w:rPr>
          <w:rFonts w:ascii="Bookman Old Style" w:hAnsi="Bookman Old Style"/>
          <w:lang w:val="es-UY"/>
        </w:rPr>
        <w:t>Los oferentes podrán proponer variantes a las condiciones que figuran en este pliego reservándose la administración el derecho de aceptarlas total o parcialmente.</w:t>
      </w:r>
    </w:p>
    <w:p w:rsidR="00E550AA" w:rsidRDefault="009530BC">
      <w:pPr>
        <w:pStyle w:val="Sinespaciado"/>
        <w:spacing w:before="100" w:after="100"/>
        <w:rPr>
          <w:rFonts w:ascii="Bookman Old Style" w:hAnsi="Bookman Old Style"/>
          <w:lang w:val="es-UY"/>
        </w:rPr>
      </w:pPr>
      <w:r>
        <w:rPr>
          <w:rFonts w:ascii="Bookman Old Style" w:hAnsi="Bookman Old Style"/>
          <w:lang w:val="es-UY"/>
        </w:rPr>
        <w:t>NO SE ACEPTARAN OFERTAS QUE ESTABLEZCAN INTERESES POR MORA.</w:t>
      </w:r>
    </w:p>
    <w:p w:rsidR="00E550AA" w:rsidRDefault="009530BC">
      <w:pPr>
        <w:pStyle w:val="Sinespaciado"/>
        <w:numPr>
          <w:ilvl w:val="0"/>
          <w:numId w:val="1"/>
        </w:numPr>
        <w:spacing w:before="100" w:after="100"/>
        <w:rPr>
          <w:rFonts w:ascii="Bookman Old Style" w:hAnsi="Bookman Old Style"/>
          <w:lang w:val="es-UY"/>
        </w:rPr>
      </w:pPr>
      <w:r>
        <w:rPr>
          <w:rFonts w:ascii="Bookman Old Style" w:hAnsi="Bookman Old Style"/>
          <w:b/>
          <w:lang w:val="es-UY"/>
        </w:rPr>
        <w:t>Aclaraciones</w:t>
      </w:r>
      <w:r>
        <w:rPr>
          <w:rFonts w:ascii="Bookman Old Style" w:hAnsi="Bookman Old Style"/>
          <w:lang w:val="es-UY"/>
        </w:rPr>
        <w:t xml:space="preserve">: </w:t>
      </w:r>
    </w:p>
    <w:p w:rsidR="00E550AA" w:rsidRDefault="009530BC">
      <w:pPr>
        <w:pStyle w:val="Sinespaciado"/>
        <w:numPr>
          <w:ilvl w:val="0"/>
          <w:numId w:val="3"/>
        </w:numPr>
        <w:spacing w:before="100" w:after="280"/>
        <w:rPr>
          <w:rFonts w:ascii="Bookman Old Style" w:hAnsi="Bookman Old Style"/>
          <w:lang w:val="es-UY"/>
        </w:rPr>
      </w:pPr>
      <w:r>
        <w:rPr>
          <w:rFonts w:ascii="Bookman Old Style" w:hAnsi="Bookman Old Style"/>
          <w:lang w:val="es-UY"/>
        </w:rPr>
        <w:t>Cuando corresponda, en la oferta deberá establecerse: presentación. Marca u otra aclaración de los artículos ofertados, vencimiento.</w:t>
      </w:r>
    </w:p>
    <w:p w:rsidR="00E550AA" w:rsidRDefault="009530BC">
      <w:pPr>
        <w:pStyle w:val="Sinespaciado"/>
        <w:numPr>
          <w:ilvl w:val="0"/>
          <w:numId w:val="3"/>
        </w:numPr>
        <w:spacing w:before="100" w:after="280"/>
        <w:rPr>
          <w:rFonts w:ascii="Bookman Old Style" w:hAnsi="Bookman Old Style"/>
          <w:lang w:val="es-UY"/>
        </w:rPr>
      </w:pPr>
      <w:r>
        <w:rPr>
          <w:rFonts w:ascii="Bookman Old Style" w:hAnsi="Bookman Old Style"/>
          <w:lang w:val="es-UY"/>
        </w:rPr>
        <w:t>Establecer plazo de entrega de mercadería o prestación del servicio.</w:t>
      </w:r>
    </w:p>
    <w:p w:rsidR="00E550AA" w:rsidRDefault="009530BC">
      <w:pPr>
        <w:pStyle w:val="Sinespaciado"/>
        <w:numPr>
          <w:ilvl w:val="0"/>
          <w:numId w:val="3"/>
        </w:numPr>
        <w:spacing w:before="100" w:after="100"/>
        <w:rPr>
          <w:rFonts w:ascii="Bookman Old Style" w:hAnsi="Bookman Old Style"/>
          <w:lang w:val="es-UY"/>
        </w:rPr>
      </w:pPr>
      <w:r>
        <w:rPr>
          <w:rFonts w:ascii="Bookman Old Style" w:hAnsi="Bookman Old Style"/>
          <w:lang w:val="es-UY"/>
        </w:rPr>
        <w:t>La administración se reserva el derecho a solicitar material informativo de los productos/artículos ofertados.</w:t>
      </w:r>
    </w:p>
    <w:p w:rsidR="00E550AA" w:rsidRDefault="009530BC">
      <w:pPr>
        <w:pStyle w:val="Sinespaciado"/>
        <w:numPr>
          <w:ilvl w:val="0"/>
          <w:numId w:val="1"/>
        </w:numPr>
        <w:spacing w:before="100" w:after="100"/>
        <w:rPr>
          <w:rFonts w:ascii="Bookman Old Style" w:hAnsi="Bookman Old Style"/>
          <w:b/>
          <w:lang w:val="es-UY"/>
        </w:rPr>
      </w:pPr>
      <w:r>
        <w:rPr>
          <w:rFonts w:ascii="Bookman Old Style" w:hAnsi="Bookman Old Style"/>
          <w:b/>
          <w:lang w:val="es-UY"/>
        </w:rPr>
        <w:t>Lugar de entrega de mercadería o prestación del servicio:</w:t>
      </w:r>
    </w:p>
    <w:p w:rsidR="00E550AA" w:rsidRDefault="009530BC">
      <w:pPr>
        <w:pStyle w:val="Sinespaciado"/>
        <w:numPr>
          <w:ilvl w:val="0"/>
          <w:numId w:val="4"/>
        </w:numPr>
        <w:spacing w:before="100" w:after="280"/>
        <w:rPr>
          <w:rFonts w:ascii="Bookman Old Style" w:hAnsi="Bookman Old Style"/>
          <w:lang w:val="es-UY"/>
        </w:rPr>
      </w:pPr>
      <w:r>
        <w:rPr>
          <w:rFonts w:ascii="Bookman Old Style" w:hAnsi="Bookman Old Style"/>
          <w:lang w:val="es-UY"/>
        </w:rPr>
        <w:t>Las entregas de las cantidades adjudicadas en los  ítems correspondientes serán a demanda de la unidad ejecutora y la entrega se realizara en el lugar que establezca la orden de compra.</w:t>
      </w:r>
    </w:p>
    <w:p w:rsidR="00E550AA" w:rsidRDefault="009530BC">
      <w:pPr>
        <w:pStyle w:val="Sinespaciado"/>
        <w:numPr>
          <w:ilvl w:val="0"/>
          <w:numId w:val="4"/>
        </w:numPr>
        <w:spacing w:before="100" w:after="100"/>
        <w:rPr>
          <w:rFonts w:ascii="Bookman Old Style" w:hAnsi="Bookman Old Style"/>
          <w:lang w:val="es-UY"/>
        </w:rPr>
      </w:pPr>
      <w:r>
        <w:rPr>
          <w:rFonts w:ascii="Bookman Old Style" w:hAnsi="Bookman Old Style"/>
          <w:lang w:val="es-UY"/>
        </w:rPr>
        <w:lastRenderedPageBreak/>
        <w:t>Las cantidades solicitadas, son al solo efecto de la estimación del oferente, no generando la misma obligación de compra por parte de la unidad ejecutora.</w:t>
      </w:r>
    </w:p>
    <w:p w:rsidR="00E550AA" w:rsidRDefault="009530BC">
      <w:pPr>
        <w:pStyle w:val="Sinespaciado"/>
        <w:numPr>
          <w:ilvl w:val="0"/>
          <w:numId w:val="4"/>
        </w:numPr>
        <w:spacing w:before="100" w:after="100"/>
        <w:rPr>
          <w:rFonts w:ascii="Bookman Old Style" w:hAnsi="Bookman Old Style"/>
          <w:lang w:val="es-UY"/>
        </w:rPr>
      </w:pPr>
      <w:r>
        <w:rPr>
          <w:rFonts w:ascii="Bookman Old Style" w:hAnsi="Bookman Old Style"/>
          <w:lang w:val="es-UY"/>
        </w:rPr>
        <w:t xml:space="preserve">El costo de envío de la mercadería debe ser por parte del proveedor. </w:t>
      </w:r>
    </w:p>
    <w:p w:rsidR="00E550AA" w:rsidRDefault="009530BC">
      <w:pPr>
        <w:pStyle w:val="Sinespaciado"/>
        <w:numPr>
          <w:ilvl w:val="0"/>
          <w:numId w:val="4"/>
        </w:numPr>
        <w:spacing w:before="100" w:after="100"/>
        <w:rPr>
          <w:rFonts w:ascii="Bookman Old Style" w:hAnsi="Bookman Old Style"/>
          <w:lang w:val="es-UY"/>
        </w:rPr>
      </w:pPr>
      <w:r>
        <w:rPr>
          <w:rFonts w:ascii="Bookman Old Style" w:hAnsi="Bookman Old Style"/>
          <w:lang w:val="es-UY"/>
        </w:rPr>
        <w:t>Plazo máximo de entrega 10 días corridos.</w:t>
      </w:r>
    </w:p>
    <w:p w:rsidR="00E550AA" w:rsidRDefault="00E550AA">
      <w:pPr>
        <w:pStyle w:val="Sinespaciado"/>
        <w:spacing w:before="100" w:after="100"/>
        <w:ind w:left="720"/>
        <w:rPr>
          <w:rFonts w:ascii="Bookman Old Style" w:hAnsi="Bookman Old Style"/>
          <w:lang w:val="es-UY"/>
        </w:rPr>
      </w:pPr>
    </w:p>
    <w:p w:rsidR="00E550AA" w:rsidRDefault="009530BC">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Se aplicara para el presente llamado lo establecido en el art. 74 del TOCAF. La Unidad Ejecutora en caso necesario, hará uso de lo dispuesto en el articulo antes mencionado, por lo cual los oferentes deberán establecer en c/u de los ítems que coticen, su conformidad a aumentar las cantidades hasta el 100% (cien por ciento) de las mismas.</w:t>
      </w:r>
    </w:p>
    <w:p w:rsidR="00E550AA" w:rsidRDefault="009530BC">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En caso de omisión e establecer su disconformidad a ello en la oferta, se considerará que se acepta dicha opción por parte del oferente, no siendo necesario ningún otro tipo de consentimiento por parte de la empresa.</w:t>
      </w:r>
    </w:p>
    <w:p w:rsidR="00E550AA" w:rsidRDefault="009530BC">
      <w:pPr>
        <w:pStyle w:val="Sinespaciado"/>
        <w:numPr>
          <w:ilvl w:val="0"/>
          <w:numId w:val="1"/>
        </w:numPr>
        <w:spacing w:after="100"/>
        <w:jc w:val="both"/>
        <w:rPr>
          <w:rFonts w:ascii="Bookman Old Style" w:hAnsi="Bookman Old Style"/>
          <w:lang w:val="es-UY"/>
        </w:rPr>
      </w:pPr>
      <w:r>
        <w:rPr>
          <w:rFonts w:ascii="Bookman Old Style" w:hAnsi="Bookman Old Style"/>
          <w:lang w:val="es-UY"/>
        </w:rPr>
        <w:t>Si no es proveedor habitual, se recomienda presentar conjuntamente con la oferta, el formulario de identificación  del oferente, el que deberá consignar el domicilio actual con todos los datos necesarios para su ubicación y numero de RUT.</w:t>
      </w:r>
    </w:p>
    <w:p w:rsidR="00E550AA" w:rsidRDefault="009530BC">
      <w:pPr>
        <w:pStyle w:val="Sinespaciado"/>
        <w:numPr>
          <w:ilvl w:val="0"/>
          <w:numId w:val="1"/>
        </w:numPr>
        <w:spacing w:after="100"/>
        <w:jc w:val="both"/>
        <w:rPr>
          <w:rFonts w:ascii="Bookman Old Style" w:hAnsi="Bookman Old Style"/>
          <w:lang w:val="es-UY"/>
        </w:rPr>
      </w:pPr>
      <w:r>
        <w:rPr>
          <w:rFonts w:ascii="Bookman Old Style" w:hAnsi="Bookman Old Style"/>
          <w:b/>
          <w:lang w:val="es-UY"/>
        </w:rPr>
        <w:t>Presentación de la oferta</w:t>
      </w:r>
      <w:r>
        <w:rPr>
          <w:rFonts w:ascii="Bookman Old Style" w:hAnsi="Bookman Old Style"/>
          <w:lang w:val="es-UY"/>
        </w:rPr>
        <w:t xml:space="preserve">: debe realizarse de manera electrónica. </w:t>
      </w:r>
    </w:p>
    <w:p w:rsidR="00E550AA" w:rsidRDefault="009530BC">
      <w:pPr>
        <w:pStyle w:val="Sinespaciado"/>
        <w:numPr>
          <w:ilvl w:val="0"/>
          <w:numId w:val="1"/>
        </w:numPr>
        <w:spacing w:after="100"/>
        <w:jc w:val="both"/>
        <w:rPr>
          <w:rFonts w:ascii="Bookman Old Style" w:hAnsi="Bookman Old Style"/>
          <w:lang w:val="es-UY"/>
        </w:rPr>
      </w:pPr>
      <w:r>
        <w:rPr>
          <w:rFonts w:ascii="Bookman Old Style" w:hAnsi="Bookman Old Style"/>
          <w:b/>
          <w:lang w:val="es-UY"/>
        </w:rPr>
        <w:t>Mantenimiento de la oferta 90 días</w:t>
      </w:r>
      <w:r>
        <w:rPr>
          <w:rFonts w:ascii="Bookman Old Style" w:hAnsi="Bookman Old Style"/>
          <w:lang w:val="es-UY"/>
        </w:rPr>
        <w:t>.</w:t>
      </w:r>
    </w:p>
    <w:p w:rsidR="00E550AA" w:rsidRDefault="009530BC">
      <w:pPr>
        <w:pStyle w:val="Sinespaciado"/>
        <w:numPr>
          <w:ilvl w:val="0"/>
          <w:numId w:val="1"/>
        </w:numPr>
        <w:spacing w:after="100"/>
        <w:jc w:val="both"/>
        <w:rPr>
          <w:rFonts w:ascii="Bookman Old Style" w:hAnsi="Bookman Old Style"/>
          <w:lang w:val="es-UY"/>
        </w:rPr>
      </w:pPr>
      <w:r>
        <w:rPr>
          <w:rFonts w:ascii="Bookman Old Style" w:hAnsi="Bookman Old Style"/>
          <w:b/>
          <w:lang w:val="es-UY"/>
        </w:rPr>
        <w:t>Forma de pago</w:t>
      </w:r>
      <w:r>
        <w:rPr>
          <w:rFonts w:ascii="Bookman Old Style" w:hAnsi="Bookman Old Style"/>
          <w:lang w:val="es-UY"/>
        </w:rPr>
        <w:t>:</w:t>
      </w:r>
    </w:p>
    <w:p w:rsidR="00E550AA" w:rsidRDefault="009530BC" w:rsidP="00056F31">
      <w:pPr>
        <w:pStyle w:val="Sinespaciado"/>
        <w:numPr>
          <w:ilvl w:val="0"/>
          <w:numId w:val="5"/>
        </w:numPr>
        <w:spacing w:before="280" w:after="280"/>
        <w:jc w:val="both"/>
        <w:rPr>
          <w:rFonts w:ascii="Bookman Old Style" w:hAnsi="Bookman Old Style"/>
          <w:lang w:val="es-UY"/>
        </w:rPr>
      </w:pPr>
      <w:r w:rsidRPr="00056F31">
        <w:rPr>
          <w:rFonts w:ascii="Bookman Old Style" w:hAnsi="Bookman Old Style"/>
          <w:lang w:val="es-UY"/>
        </w:rPr>
        <w:t>S.I.I.F (Sistema Integrado de Información Financiera): plazo estimado de pago, a los 90 (noventa) días del cierre del mes al cual pertenece la factura.</w:t>
      </w:r>
    </w:p>
    <w:sectPr w:rsidR="00E550AA" w:rsidSect="00E550AA">
      <w:headerReference w:type="default" r:id="rId8"/>
      <w:pgSz w:w="11906" w:h="16838"/>
      <w:pgMar w:top="1417" w:right="1701" w:bottom="1417" w:left="1701"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BC7" w:rsidRDefault="00F65BC7" w:rsidP="00E550AA">
      <w:r>
        <w:separator/>
      </w:r>
    </w:p>
  </w:endnote>
  <w:endnote w:type="continuationSeparator" w:id="1">
    <w:p w:rsidR="00F65BC7" w:rsidRDefault="00F65BC7" w:rsidP="00E55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BC7" w:rsidRDefault="00F65BC7" w:rsidP="00E550AA">
      <w:r>
        <w:separator/>
      </w:r>
    </w:p>
  </w:footnote>
  <w:footnote w:type="continuationSeparator" w:id="1">
    <w:p w:rsidR="00F65BC7" w:rsidRDefault="00F65BC7" w:rsidP="00E55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AA" w:rsidRDefault="009530BC">
    <w:pPr>
      <w:pStyle w:val="Header"/>
      <w:spacing w:before="280" w:after="280"/>
    </w:pPr>
    <w:r>
      <w:rPr>
        <w:noProof/>
        <w:lang w:eastAsia="es-ES"/>
      </w:rPr>
      <w:drawing>
        <wp:inline distT="0" distB="0" distL="0" distR="0">
          <wp:extent cx="3048000" cy="885825"/>
          <wp:effectExtent l="0" t="0" r="0" b="0"/>
          <wp:docPr id="2" name="Imagen5" descr="LOGO HORIZONTAL AS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5" descr="LOGO HORIZONTAL ASSE 2"/>
                  <pic:cNvPicPr>
                    <a:picLocks noChangeAspect="1" noChangeArrowheads="1"/>
                  </pic:cNvPicPr>
                </pic:nvPicPr>
                <pic:blipFill>
                  <a:blip r:embed="rId1"/>
                  <a:stretch>
                    <a:fillRect/>
                  </a:stretch>
                </pic:blipFill>
                <pic:spPr bwMode="auto">
                  <a:xfrm>
                    <a:off x="0" y="0"/>
                    <a:ext cx="3048000" cy="885825"/>
                  </a:xfrm>
                  <a:prstGeom prst="rect">
                    <a:avLst/>
                  </a:prstGeom>
                </pic:spPr>
              </pic:pic>
            </a:graphicData>
          </a:graphic>
        </wp:inline>
      </w:drawing>
    </w:r>
    <w:r>
      <w:rPr>
        <w:noProof/>
        <w:lang w:eastAsia="es-ES"/>
      </w:rPr>
      <w:drawing>
        <wp:inline distT="0" distB="0" distL="0" distR="0">
          <wp:extent cx="1943100" cy="876300"/>
          <wp:effectExtent l="0" t="0" r="0" b="0"/>
          <wp:docPr id="3" name="Imagen7"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7" descr="z"/>
                  <pic:cNvPicPr>
                    <a:picLocks noChangeAspect="1" noChangeArrowheads="1"/>
                  </pic:cNvPicPr>
                </pic:nvPicPr>
                <pic:blipFill>
                  <a:blip r:embed="rId2"/>
                  <a:stretch>
                    <a:fillRect/>
                  </a:stretch>
                </pic:blipFill>
                <pic:spPr bwMode="auto">
                  <a:xfrm>
                    <a:off x="0" y="0"/>
                    <a:ext cx="1943100" cy="8763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96F"/>
    <w:multiLevelType w:val="multilevel"/>
    <w:tmpl w:val="4A8898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BB83100"/>
    <w:multiLevelType w:val="multilevel"/>
    <w:tmpl w:val="08CCBEE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3262274D"/>
    <w:multiLevelType w:val="multilevel"/>
    <w:tmpl w:val="CECE4F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FA40146"/>
    <w:multiLevelType w:val="multilevel"/>
    <w:tmpl w:val="04A8E078"/>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607A6A7D"/>
    <w:multiLevelType w:val="multilevel"/>
    <w:tmpl w:val="3C9224AC"/>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nsid w:val="733338F0"/>
    <w:multiLevelType w:val="multilevel"/>
    <w:tmpl w:val="00DEBAA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E550AA"/>
    <w:rsid w:val="0002474C"/>
    <w:rsid w:val="00056F31"/>
    <w:rsid w:val="00070FBA"/>
    <w:rsid w:val="000A1692"/>
    <w:rsid w:val="000E18AB"/>
    <w:rsid w:val="00196A1B"/>
    <w:rsid w:val="002101AE"/>
    <w:rsid w:val="00213672"/>
    <w:rsid w:val="002409CB"/>
    <w:rsid w:val="00276F4E"/>
    <w:rsid w:val="003304FF"/>
    <w:rsid w:val="003D106A"/>
    <w:rsid w:val="0044010E"/>
    <w:rsid w:val="004A5BEE"/>
    <w:rsid w:val="004B242F"/>
    <w:rsid w:val="005A5F25"/>
    <w:rsid w:val="008039CB"/>
    <w:rsid w:val="0087716B"/>
    <w:rsid w:val="008F3E2E"/>
    <w:rsid w:val="009530BC"/>
    <w:rsid w:val="009B3846"/>
    <w:rsid w:val="009E2AAC"/>
    <w:rsid w:val="009F398A"/>
    <w:rsid w:val="00A15949"/>
    <w:rsid w:val="00B93CF8"/>
    <w:rsid w:val="00D16BE0"/>
    <w:rsid w:val="00D5783A"/>
    <w:rsid w:val="00D7050D"/>
    <w:rsid w:val="00E25731"/>
    <w:rsid w:val="00E550AA"/>
    <w:rsid w:val="00F23BEA"/>
    <w:rsid w:val="00F65BC7"/>
    <w:rsid w:val="00F65D79"/>
    <w:rsid w:val="00FA5A05"/>
    <w:rsid w:val="00FC7D4E"/>
    <w:rsid w:val="00FE41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6B"/>
    <w:pPr>
      <w:spacing w:beforeAutospacing="1" w:afterAutospacing="1"/>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semiHidden/>
    <w:qFormat/>
    <w:rsid w:val="00D609AA"/>
    <w:rPr>
      <w:rFonts w:ascii="Times New Roman" w:eastAsia="Times New Roman" w:hAnsi="Times New Roman" w:cs="Times New Roman"/>
      <w:sz w:val="20"/>
      <w:szCs w:val="20"/>
      <w:lang w:val="es-UY" w:eastAsia="ar-SA"/>
    </w:rPr>
  </w:style>
  <w:style w:type="character" w:customStyle="1" w:styleId="TextodegloboCar">
    <w:name w:val="Texto de globo Car"/>
    <w:basedOn w:val="Fuentedeprrafopredeter"/>
    <w:link w:val="Textodeglobo"/>
    <w:uiPriority w:val="99"/>
    <w:semiHidden/>
    <w:qFormat/>
    <w:rsid w:val="003E2B5F"/>
    <w:rPr>
      <w:rFonts w:ascii="Tahoma" w:hAnsi="Tahoma" w:cs="Tahoma"/>
      <w:sz w:val="16"/>
      <w:szCs w:val="16"/>
    </w:rPr>
  </w:style>
  <w:style w:type="character" w:customStyle="1" w:styleId="PiedepginaCar">
    <w:name w:val="Pie de página Car"/>
    <w:basedOn w:val="Fuentedeprrafopredeter"/>
    <w:uiPriority w:val="99"/>
    <w:semiHidden/>
    <w:qFormat/>
    <w:rsid w:val="006F6508"/>
  </w:style>
  <w:style w:type="character" w:customStyle="1" w:styleId="EncabezadoCar1">
    <w:name w:val="Encabezado Car1"/>
    <w:basedOn w:val="Fuentedeprrafopredeter"/>
    <w:link w:val="Header"/>
    <w:semiHidden/>
    <w:qFormat/>
    <w:rsid w:val="00E0231E"/>
    <w:rPr>
      <w:sz w:val="22"/>
    </w:rPr>
  </w:style>
  <w:style w:type="character" w:customStyle="1" w:styleId="PiedepginaCar1">
    <w:name w:val="Pie de página Car1"/>
    <w:basedOn w:val="Fuentedeprrafopredeter"/>
    <w:link w:val="Footer"/>
    <w:uiPriority w:val="99"/>
    <w:semiHidden/>
    <w:qFormat/>
    <w:rsid w:val="00E0231E"/>
    <w:rPr>
      <w:sz w:val="22"/>
    </w:rPr>
  </w:style>
  <w:style w:type="paragraph" w:styleId="Ttulo">
    <w:name w:val="Title"/>
    <w:basedOn w:val="Normal"/>
    <w:next w:val="Textoindependiente"/>
    <w:qFormat/>
    <w:rsid w:val="00AF5D47"/>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AF5D47"/>
    <w:pPr>
      <w:spacing w:before="280" w:after="140" w:line="276" w:lineRule="auto"/>
    </w:pPr>
  </w:style>
  <w:style w:type="paragraph" w:styleId="Lista">
    <w:name w:val="List"/>
    <w:basedOn w:val="Textoindependiente"/>
    <w:rsid w:val="00AF5D47"/>
    <w:rPr>
      <w:rFonts w:cs="Lohit Devanagari"/>
    </w:rPr>
  </w:style>
  <w:style w:type="paragraph" w:customStyle="1" w:styleId="Caption">
    <w:name w:val="Caption"/>
    <w:basedOn w:val="Normal"/>
    <w:qFormat/>
    <w:rsid w:val="00AF5D47"/>
    <w:pPr>
      <w:suppressLineNumbers/>
      <w:spacing w:before="120" w:after="120"/>
    </w:pPr>
    <w:rPr>
      <w:rFonts w:cs="Lohit Devanagari"/>
      <w:i/>
      <w:iCs/>
      <w:sz w:val="24"/>
      <w:szCs w:val="24"/>
    </w:rPr>
  </w:style>
  <w:style w:type="paragraph" w:customStyle="1" w:styleId="ndice">
    <w:name w:val="Índice"/>
    <w:basedOn w:val="Normal"/>
    <w:qFormat/>
    <w:rsid w:val="00AF5D47"/>
    <w:pPr>
      <w:suppressLineNumbers/>
    </w:pPr>
    <w:rPr>
      <w:rFonts w:cs="Lohit Devanagari"/>
    </w:rPr>
  </w:style>
  <w:style w:type="paragraph" w:customStyle="1" w:styleId="Cabeceraypie">
    <w:name w:val="Cabecera y pie"/>
    <w:basedOn w:val="Normal"/>
    <w:qFormat/>
    <w:rsid w:val="00AF5D47"/>
  </w:style>
  <w:style w:type="paragraph" w:customStyle="1" w:styleId="Header">
    <w:name w:val="Header"/>
    <w:basedOn w:val="Normal"/>
    <w:link w:val="EncabezadoCar1"/>
    <w:semiHidden/>
    <w:unhideWhenUsed/>
    <w:rsid w:val="00E0231E"/>
    <w:pPr>
      <w:tabs>
        <w:tab w:val="center" w:pos="4252"/>
        <w:tab w:val="right" w:pos="8504"/>
      </w:tabs>
    </w:pPr>
  </w:style>
  <w:style w:type="paragraph" w:styleId="Sinespaciado">
    <w:name w:val="No Spacing"/>
    <w:uiPriority w:val="1"/>
    <w:qFormat/>
    <w:rsid w:val="00D609AA"/>
    <w:rPr>
      <w:sz w:val="22"/>
    </w:rPr>
  </w:style>
  <w:style w:type="paragraph" w:styleId="Textodeglobo">
    <w:name w:val="Balloon Text"/>
    <w:basedOn w:val="Normal"/>
    <w:link w:val="TextodegloboCar"/>
    <w:uiPriority w:val="99"/>
    <w:semiHidden/>
    <w:unhideWhenUsed/>
    <w:qFormat/>
    <w:rsid w:val="003E2B5F"/>
    <w:rPr>
      <w:rFonts w:ascii="Tahoma" w:hAnsi="Tahoma" w:cs="Tahoma"/>
      <w:sz w:val="16"/>
      <w:szCs w:val="16"/>
    </w:rPr>
  </w:style>
  <w:style w:type="paragraph" w:customStyle="1" w:styleId="Footer">
    <w:name w:val="Footer"/>
    <w:basedOn w:val="Normal"/>
    <w:link w:val="PiedepginaCar1"/>
    <w:uiPriority w:val="99"/>
    <w:semiHidden/>
    <w:unhideWhenUsed/>
    <w:rsid w:val="00E0231E"/>
    <w:pPr>
      <w:tabs>
        <w:tab w:val="center" w:pos="4252"/>
        <w:tab w:val="right" w:pos="8504"/>
      </w:tabs>
    </w:pPr>
  </w:style>
  <w:style w:type="paragraph" w:customStyle="1" w:styleId="Contenidodelatabla">
    <w:name w:val="Contenido de la tabla"/>
    <w:basedOn w:val="Normal"/>
    <w:qFormat/>
    <w:rsid w:val="00AF5D47"/>
    <w:pPr>
      <w:suppressLineNumbers/>
    </w:pPr>
  </w:style>
  <w:style w:type="paragraph" w:customStyle="1" w:styleId="Ttulodelatabla">
    <w:name w:val="Título de la tabla"/>
    <w:basedOn w:val="Contenidodelatabla"/>
    <w:qFormat/>
    <w:rsid w:val="00AF5D47"/>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BC2F-F2D8-4825-BACD-A9F3629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MSP-ASSE</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Auxiliar de Río Branco</dc:creator>
  <cp:lastModifiedBy>Compras2</cp:lastModifiedBy>
  <cp:revision>2</cp:revision>
  <dcterms:created xsi:type="dcterms:W3CDTF">2024-04-24T16:43:00Z</dcterms:created>
  <dcterms:modified xsi:type="dcterms:W3CDTF">2024-04-24T16:43:00Z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MSP-ASSE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