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A7" w:rsidRPr="000906A7" w:rsidRDefault="000906A7" w:rsidP="009900FA">
      <w:pPr>
        <w:spacing w:after="120"/>
        <w:ind w:right="120"/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  <w:r w:rsidRPr="000906A7">
        <w:rPr>
          <w:rFonts w:ascii="Tahoma" w:hAnsi="Tahoma" w:cs="Tahoma"/>
          <w:b/>
          <w:bCs/>
          <w:sz w:val="26"/>
          <w:szCs w:val="26"/>
          <w:u w:val="single"/>
        </w:rPr>
        <w:t>Se anexa al pliego correspondiente:</w:t>
      </w:r>
      <w:bookmarkStart w:id="0" w:name="_GoBack"/>
      <w:bookmarkEnd w:id="0"/>
    </w:p>
    <w:p w:rsidR="000906A7" w:rsidRDefault="000906A7" w:rsidP="009900FA">
      <w:pPr>
        <w:spacing w:after="120"/>
        <w:ind w:right="120"/>
        <w:jc w:val="both"/>
        <w:rPr>
          <w:rFonts w:ascii="Tahoma" w:hAnsi="Tahoma" w:cs="Tahoma"/>
          <w:b/>
          <w:bCs/>
          <w:sz w:val="26"/>
          <w:szCs w:val="26"/>
        </w:rPr>
      </w:pPr>
    </w:p>
    <w:p w:rsidR="009900FA" w:rsidRPr="001C7D8F" w:rsidRDefault="009900FA" w:rsidP="009900FA">
      <w:pPr>
        <w:spacing w:after="120"/>
        <w:ind w:right="120"/>
        <w:jc w:val="both"/>
        <w:rPr>
          <w:rFonts w:ascii="Tahoma" w:hAnsi="Tahoma" w:cs="Tahoma"/>
          <w:b/>
          <w:bCs/>
          <w:sz w:val="26"/>
          <w:szCs w:val="26"/>
        </w:rPr>
      </w:pPr>
      <w:r w:rsidRPr="001C7D8F">
        <w:rPr>
          <w:rFonts w:ascii="Tahoma" w:hAnsi="Tahoma" w:cs="Tahoma"/>
          <w:b/>
          <w:bCs/>
          <w:sz w:val="26"/>
          <w:szCs w:val="26"/>
        </w:rPr>
        <w:t>17. CRITERIOS DE SELECCIÓN</w:t>
      </w:r>
      <w:r>
        <w:rPr>
          <w:rFonts w:ascii="Tahoma" w:hAnsi="Tahoma" w:cs="Tahoma"/>
          <w:b/>
          <w:bCs/>
          <w:sz w:val="26"/>
          <w:szCs w:val="26"/>
        </w:rPr>
        <w:t xml:space="preserve"> Y PONDERACIÓN</w:t>
      </w:r>
      <w:r w:rsidRPr="001C7D8F">
        <w:rPr>
          <w:rFonts w:ascii="Tahoma" w:hAnsi="Tahoma" w:cs="Tahoma"/>
          <w:b/>
          <w:bCs/>
          <w:sz w:val="26"/>
          <w:szCs w:val="26"/>
        </w:rPr>
        <w:t xml:space="preserve">. </w:t>
      </w:r>
    </w:p>
    <w:p w:rsidR="009900FA" w:rsidRDefault="009900FA" w:rsidP="009900FA">
      <w:p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ab/>
        <w:t>A)</w:t>
      </w:r>
      <w:r>
        <w:rPr>
          <w:rFonts w:ascii="Tahoma" w:hAnsi="Tahoma" w:cs="Tahoma"/>
          <w:szCs w:val="26"/>
        </w:rPr>
        <w:tab/>
      </w:r>
      <w:r w:rsidRPr="001C7D8F">
        <w:rPr>
          <w:rFonts w:ascii="Tahoma" w:hAnsi="Tahoma" w:cs="Tahoma"/>
          <w:szCs w:val="26"/>
        </w:rPr>
        <w:t>Todas las especificaciones indicadas en el presente Pliego, constituyen criterios aproximados de selección, y la Intendencia se reserva el derecho de apreciar - a su exclusivo juicio - el grado de cumplimiento de dichas especificaciones cuando alguna oferta no los cumpla parcialmente, o en su totalidad.</w:t>
      </w:r>
    </w:p>
    <w:p w:rsidR="009900FA" w:rsidRDefault="009900FA" w:rsidP="009900FA">
      <w:pPr>
        <w:jc w:val="both"/>
        <w:rPr>
          <w:rFonts w:ascii="Tahoma" w:hAnsi="Tahoma" w:cs="Tahoma"/>
          <w:szCs w:val="26"/>
        </w:rPr>
      </w:pPr>
    </w:p>
    <w:p w:rsidR="009900FA" w:rsidRDefault="009900FA" w:rsidP="009900FA">
      <w:pPr>
        <w:numPr>
          <w:ilvl w:val="0"/>
          <w:numId w:val="1"/>
        </w:numPr>
        <w:ind w:left="0" w:firstLine="709"/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Se considerarán los siguientes elementos para llevar a cabo la evaluación de las ofertas con las ponderaciones que se establecen:</w:t>
      </w:r>
    </w:p>
    <w:p w:rsidR="009900FA" w:rsidRDefault="009900FA" w:rsidP="009900FA">
      <w:pPr>
        <w:ind w:left="709"/>
        <w:jc w:val="both"/>
        <w:rPr>
          <w:rFonts w:ascii="Tahoma" w:hAnsi="Tahoma" w:cs="Tahoma"/>
          <w:szCs w:val="26"/>
        </w:rPr>
      </w:pPr>
    </w:p>
    <w:p w:rsidR="009900FA" w:rsidRDefault="009900FA" w:rsidP="009900FA">
      <w:pPr>
        <w:numPr>
          <w:ilvl w:val="0"/>
          <w:numId w:val="2"/>
        </w:num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Procedencia</w:t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  <w:t xml:space="preserve">(1 punto) </w:t>
      </w:r>
    </w:p>
    <w:p w:rsidR="009900FA" w:rsidRDefault="009900FA" w:rsidP="009900FA">
      <w:pPr>
        <w:numPr>
          <w:ilvl w:val="0"/>
          <w:numId w:val="2"/>
        </w:num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Antigüedad en el mercado </w:t>
      </w:r>
      <w:r>
        <w:rPr>
          <w:rFonts w:ascii="Tahoma" w:hAnsi="Tahoma" w:cs="Tahoma"/>
          <w:szCs w:val="26"/>
        </w:rPr>
        <w:tab/>
        <w:t>(1 punto)</w:t>
      </w:r>
    </w:p>
    <w:p w:rsidR="009900FA" w:rsidRDefault="009900FA" w:rsidP="009900FA">
      <w:pPr>
        <w:numPr>
          <w:ilvl w:val="0"/>
          <w:numId w:val="2"/>
        </w:num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Antecedentes en el mercado </w:t>
      </w:r>
      <w:r>
        <w:rPr>
          <w:rFonts w:ascii="Tahoma" w:hAnsi="Tahoma" w:cs="Tahoma"/>
          <w:szCs w:val="26"/>
        </w:rPr>
        <w:tab/>
        <w:t>(1 punto)</w:t>
      </w:r>
    </w:p>
    <w:p w:rsidR="009900FA" w:rsidRDefault="009900FA" w:rsidP="009900FA">
      <w:pPr>
        <w:numPr>
          <w:ilvl w:val="0"/>
          <w:numId w:val="2"/>
        </w:num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Entrega – Plazo</w:t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  <w:t>(1 punto)</w:t>
      </w:r>
    </w:p>
    <w:p w:rsidR="009900FA" w:rsidRDefault="009900FA" w:rsidP="009900FA">
      <w:pPr>
        <w:numPr>
          <w:ilvl w:val="0"/>
          <w:numId w:val="2"/>
        </w:num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Garantía en caso de fallas </w:t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  <w:t>(1 punto)</w:t>
      </w:r>
    </w:p>
    <w:p w:rsidR="009900FA" w:rsidRPr="001D790F" w:rsidRDefault="009900FA" w:rsidP="009900FA">
      <w:pPr>
        <w:ind w:left="1429"/>
        <w:jc w:val="both"/>
        <w:rPr>
          <w:rFonts w:ascii="Tahoma" w:hAnsi="Tahoma" w:cs="Tahoma"/>
          <w:b/>
          <w:szCs w:val="26"/>
        </w:rPr>
      </w:pPr>
      <w:r w:rsidRPr="001D790F">
        <w:rPr>
          <w:rFonts w:ascii="Tahoma" w:hAnsi="Tahoma" w:cs="Tahoma"/>
          <w:b/>
          <w:szCs w:val="26"/>
        </w:rPr>
        <w:t xml:space="preserve">TOTAL </w:t>
      </w:r>
      <w:r w:rsidRPr="001D790F">
        <w:rPr>
          <w:rFonts w:ascii="Tahoma" w:hAnsi="Tahoma" w:cs="Tahoma"/>
          <w:b/>
          <w:szCs w:val="26"/>
        </w:rPr>
        <w:tab/>
      </w:r>
      <w:r w:rsidRPr="001D790F">
        <w:rPr>
          <w:rFonts w:ascii="Tahoma" w:hAnsi="Tahoma" w:cs="Tahoma"/>
          <w:b/>
          <w:szCs w:val="26"/>
        </w:rPr>
        <w:tab/>
      </w:r>
      <w:r w:rsidRPr="001D790F">
        <w:rPr>
          <w:rFonts w:ascii="Tahoma" w:hAnsi="Tahoma" w:cs="Tahoma"/>
          <w:b/>
          <w:szCs w:val="26"/>
        </w:rPr>
        <w:tab/>
      </w:r>
      <w:r w:rsidRPr="001D790F">
        <w:rPr>
          <w:rFonts w:ascii="Tahoma" w:hAnsi="Tahoma" w:cs="Tahoma"/>
          <w:b/>
          <w:szCs w:val="26"/>
        </w:rPr>
        <w:tab/>
        <w:t xml:space="preserve"> 5 puntos </w:t>
      </w:r>
    </w:p>
    <w:p w:rsidR="009900FA" w:rsidRPr="001C7D8F" w:rsidRDefault="009900FA" w:rsidP="009900FA">
      <w:pPr>
        <w:ind w:left="720"/>
        <w:jc w:val="both"/>
        <w:rPr>
          <w:rFonts w:ascii="Tahoma" w:hAnsi="Tahoma" w:cs="Tahoma"/>
          <w:szCs w:val="26"/>
        </w:rPr>
      </w:pPr>
    </w:p>
    <w:p w:rsidR="009900FA" w:rsidRPr="001D790F" w:rsidRDefault="009900FA" w:rsidP="009900FA">
      <w:pPr>
        <w:jc w:val="both"/>
        <w:rPr>
          <w:b/>
          <w:sz w:val="16"/>
          <w:szCs w:val="16"/>
        </w:rPr>
      </w:pPr>
    </w:p>
    <w:p w:rsidR="006615D6" w:rsidRDefault="006615D6"/>
    <w:sectPr w:rsidR="00661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8BD"/>
    <w:multiLevelType w:val="hybridMultilevel"/>
    <w:tmpl w:val="9B58E75C"/>
    <w:lvl w:ilvl="0" w:tplc="53846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92325"/>
    <w:multiLevelType w:val="hybridMultilevel"/>
    <w:tmpl w:val="D868A026"/>
    <w:lvl w:ilvl="0" w:tplc="F260E64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9" w:hanging="360"/>
      </w:pPr>
    </w:lvl>
    <w:lvl w:ilvl="2" w:tplc="380A001B" w:tentative="1">
      <w:start w:val="1"/>
      <w:numFmt w:val="lowerRoman"/>
      <w:lvlText w:val="%3."/>
      <w:lvlJc w:val="right"/>
      <w:pPr>
        <w:ind w:left="2509" w:hanging="180"/>
      </w:pPr>
    </w:lvl>
    <w:lvl w:ilvl="3" w:tplc="380A000F" w:tentative="1">
      <w:start w:val="1"/>
      <w:numFmt w:val="decimal"/>
      <w:lvlText w:val="%4."/>
      <w:lvlJc w:val="left"/>
      <w:pPr>
        <w:ind w:left="3229" w:hanging="360"/>
      </w:pPr>
    </w:lvl>
    <w:lvl w:ilvl="4" w:tplc="380A0019" w:tentative="1">
      <w:start w:val="1"/>
      <w:numFmt w:val="lowerLetter"/>
      <w:lvlText w:val="%5."/>
      <w:lvlJc w:val="left"/>
      <w:pPr>
        <w:ind w:left="3949" w:hanging="360"/>
      </w:pPr>
    </w:lvl>
    <w:lvl w:ilvl="5" w:tplc="380A001B" w:tentative="1">
      <w:start w:val="1"/>
      <w:numFmt w:val="lowerRoman"/>
      <w:lvlText w:val="%6."/>
      <w:lvlJc w:val="right"/>
      <w:pPr>
        <w:ind w:left="4669" w:hanging="180"/>
      </w:pPr>
    </w:lvl>
    <w:lvl w:ilvl="6" w:tplc="380A000F" w:tentative="1">
      <w:start w:val="1"/>
      <w:numFmt w:val="decimal"/>
      <w:lvlText w:val="%7."/>
      <w:lvlJc w:val="left"/>
      <w:pPr>
        <w:ind w:left="5389" w:hanging="360"/>
      </w:pPr>
    </w:lvl>
    <w:lvl w:ilvl="7" w:tplc="380A0019" w:tentative="1">
      <w:start w:val="1"/>
      <w:numFmt w:val="lowerLetter"/>
      <w:lvlText w:val="%8."/>
      <w:lvlJc w:val="left"/>
      <w:pPr>
        <w:ind w:left="6109" w:hanging="360"/>
      </w:pPr>
    </w:lvl>
    <w:lvl w:ilvl="8" w:tplc="3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FA"/>
    <w:rsid w:val="000906A7"/>
    <w:rsid w:val="006615D6"/>
    <w:rsid w:val="009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3AF1"/>
  <w15:chartTrackingRefBased/>
  <w15:docId w15:val="{78541E00-328E-47EE-8DA2-869E2D7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Rosano Laxalde</dc:creator>
  <cp:keywords/>
  <dc:description/>
  <cp:lastModifiedBy>Roberto Rosano Laxalde</cp:lastModifiedBy>
  <cp:revision>3</cp:revision>
  <dcterms:created xsi:type="dcterms:W3CDTF">2020-05-26T16:29:00Z</dcterms:created>
  <dcterms:modified xsi:type="dcterms:W3CDTF">2020-05-26T16:54:00Z</dcterms:modified>
</cp:coreProperties>
</file>